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3809A5F6"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0785D">
              <w:rPr>
                <w:rFonts w:ascii="Arial" w:hAnsi="Arial" w:cs="Arial"/>
                <w:b/>
                <w:sz w:val="22"/>
                <w:szCs w:val="24"/>
              </w:rPr>
              <w:t>6</w:t>
            </w:r>
            <w:r w:rsidR="00400036">
              <w:rPr>
                <w:rFonts w:ascii="Arial" w:hAnsi="Arial" w:cs="Arial"/>
                <w:b/>
                <w:sz w:val="22"/>
                <w:szCs w:val="24"/>
              </w:rPr>
              <w:t>bis</w:t>
            </w:r>
            <w:r w:rsidR="00DC7540">
              <w:rPr>
                <w:rFonts w:ascii="Arial" w:hAnsi="Arial" w:cs="Arial"/>
                <w:b/>
                <w:sz w:val="22"/>
                <w:szCs w:val="24"/>
              </w:rPr>
              <w:t>-</w:t>
            </w:r>
            <w:r w:rsidR="0090785D">
              <w:rPr>
                <w:rFonts w:ascii="Arial" w:hAnsi="Arial" w:cs="Arial"/>
                <w:b/>
                <w:sz w:val="22"/>
                <w:szCs w:val="24"/>
              </w:rPr>
              <w:t>e</w:t>
            </w:r>
            <w:r w:rsidRPr="009E704E">
              <w:rPr>
                <w:rFonts w:ascii="Arial" w:hAnsi="Arial" w:cs="Arial"/>
                <w:b/>
                <w:sz w:val="22"/>
                <w:szCs w:val="24"/>
              </w:rPr>
              <w:tab/>
            </w:r>
          </w:p>
          <w:p w14:paraId="2EF51FDD" w14:textId="29873D8C"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400036">
              <w:rPr>
                <w:rFonts w:cs="Arial"/>
                <w:i w:val="0"/>
                <w:noProof w:val="0"/>
                <w:sz w:val="22"/>
                <w:szCs w:val="24"/>
              </w:rPr>
              <w:t>October</w:t>
            </w:r>
            <w:r w:rsidR="00BF13D5">
              <w:rPr>
                <w:rFonts w:cs="Arial"/>
                <w:i w:val="0"/>
                <w:noProof w:val="0"/>
                <w:sz w:val="22"/>
                <w:szCs w:val="24"/>
              </w:rPr>
              <w:t xml:space="preserve"> </w:t>
            </w:r>
            <w:r w:rsidR="00D971DE">
              <w:rPr>
                <w:rFonts w:cs="Arial"/>
                <w:i w:val="0"/>
                <w:noProof w:val="0"/>
                <w:sz w:val="22"/>
                <w:szCs w:val="24"/>
              </w:rPr>
              <w:t>1</w:t>
            </w:r>
            <w:r w:rsidR="00400036">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400036">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BF13D5">
              <w:rPr>
                <w:rFonts w:cs="Arial"/>
                <w:i w:val="0"/>
                <w:noProof w:val="0"/>
                <w:sz w:val="22"/>
                <w:szCs w:val="24"/>
              </w:rPr>
              <w:t>1</w:t>
            </w:r>
          </w:p>
        </w:tc>
        <w:tc>
          <w:tcPr>
            <w:tcW w:w="2766" w:type="dxa"/>
          </w:tcPr>
          <w:p w14:paraId="0CD432AA" w14:textId="5D9384DA"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D971DE">
              <w:rPr>
                <w:rFonts w:ascii="Arial" w:hAnsi="Arial" w:cs="Arial"/>
                <w:b/>
                <w:sz w:val="22"/>
                <w:szCs w:val="24"/>
              </w:rPr>
              <w:t xml:space="preserve"> </w:t>
            </w:r>
            <w:r w:rsidR="007F022D">
              <w:rPr>
                <w:rFonts w:ascii="Arial" w:hAnsi="Arial" w:cs="Arial"/>
                <w:b/>
                <w:sz w:val="22"/>
                <w:szCs w:val="24"/>
              </w:rPr>
              <w:t xml:space="preserve"> </w:t>
            </w:r>
            <w:r w:rsidR="00D971DE">
              <w:rPr>
                <w:rFonts w:ascii="Arial" w:hAnsi="Arial" w:cs="Arial"/>
                <w:b/>
                <w:sz w:val="22"/>
                <w:szCs w:val="24"/>
              </w:rPr>
              <w:t xml:space="preserve">  </w:t>
            </w:r>
            <w:r w:rsidR="00E57851">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w:t>
            </w:r>
            <w:r w:rsidR="008F3FBC">
              <w:rPr>
                <w:rFonts w:ascii="Arial" w:hAnsi="Arial" w:cs="Arial"/>
                <w:b/>
                <w:sz w:val="22"/>
                <w:szCs w:val="24"/>
              </w:rPr>
              <w:t>1</w:t>
            </w:r>
            <w:r w:rsidR="00400036">
              <w:rPr>
                <w:rFonts w:ascii="Arial" w:hAnsi="Arial" w:cs="Arial"/>
                <w:b/>
                <w:sz w:val="22"/>
                <w:szCs w:val="24"/>
              </w:rPr>
              <w:t>10164</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12B03933" w14:textId="23416DB4" w:rsidR="00BA0C44" w:rsidRPr="00292352" w:rsidRDefault="00BA0C44" w:rsidP="00767813">
      <w:pPr>
        <w:tabs>
          <w:tab w:val="left" w:pos="2250"/>
        </w:tabs>
        <w:spacing w:after="0"/>
        <w:ind w:left="1988" w:right="-450" w:hanging="1988"/>
        <w:rPr>
          <w:rFonts w:ascii="Arial" w:hAnsi="Arial"/>
          <w:b/>
          <w:sz w:val="22"/>
        </w:rPr>
      </w:pPr>
      <w:r w:rsidRPr="00292352">
        <w:rPr>
          <w:rFonts w:ascii="Arial" w:hAnsi="Arial"/>
          <w:b/>
          <w:sz w:val="24"/>
        </w:rPr>
        <w:t xml:space="preserve">Title: </w:t>
      </w:r>
      <w:r w:rsidRPr="00292352">
        <w:rPr>
          <w:rFonts w:ascii="Arial" w:hAnsi="Arial"/>
          <w:b/>
          <w:sz w:val="22"/>
        </w:rPr>
        <w:tab/>
      </w:r>
      <w:r w:rsidR="00767813">
        <w:rPr>
          <w:rFonts w:ascii="Arial" w:hAnsi="Arial"/>
          <w:b/>
          <w:sz w:val="22"/>
        </w:rPr>
        <w:tab/>
        <w:t xml:space="preserve">[Draft] </w:t>
      </w:r>
      <w:r w:rsidR="00400036">
        <w:rPr>
          <w:rFonts w:ascii="Arial" w:hAnsi="Arial"/>
          <w:b/>
          <w:sz w:val="22"/>
        </w:rPr>
        <w:t xml:space="preserve">Discussion </w:t>
      </w:r>
      <w:r w:rsidR="000C19B5">
        <w:rPr>
          <w:rFonts w:ascii="Arial" w:hAnsi="Arial"/>
          <w:b/>
          <w:sz w:val="22"/>
        </w:rPr>
        <w:t xml:space="preserve">on </w:t>
      </w:r>
      <w:r w:rsidR="00557FEA">
        <w:rPr>
          <w:rFonts w:ascii="Arial" w:hAnsi="Arial"/>
          <w:b/>
          <w:sz w:val="22"/>
        </w:rPr>
        <w:t>P</w:t>
      </w:r>
      <w:r w:rsidR="00400036">
        <w:rPr>
          <w:rFonts w:ascii="Arial" w:hAnsi="Arial"/>
          <w:b/>
          <w:sz w:val="22"/>
        </w:rPr>
        <w:t>HY</w:t>
      </w:r>
      <w:r w:rsidR="00557FEA">
        <w:rPr>
          <w:rFonts w:ascii="Arial" w:hAnsi="Arial"/>
          <w:b/>
          <w:sz w:val="22"/>
        </w:rPr>
        <w:t xml:space="preserve"> Aspects of </w:t>
      </w:r>
      <w:r w:rsidR="00D971DE">
        <w:rPr>
          <w:rFonts w:ascii="Arial" w:hAnsi="Arial"/>
          <w:b/>
          <w:sz w:val="22"/>
        </w:rPr>
        <w:t>SDT</w:t>
      </w:r>
    </w:p>
    <w:bookmarkEnd w:id="0"/>
    <w:p w14:paraId="0D8F0224" w14:textId="71B7C829" w:rsidR="00BA0C44" w:rsidRDefault="000932A0" w:rsidP="00767813">
      <w:pPr>
        <w:tabs>
          <w:tab w:val="left" w:pos="2250"/>
        </w:tabs>
        <w:spacing w:after="0"/>
        <w:ind w:left="1988" w:right="-450" w:hanging="1988"/>
        <w:jc w:val="both"/>
        <w:rPr>
          <w:rFonts w:ascii="Arial" w:hAnsi="Arial"/>
          <w:b/>
          <w:sz w:val="22"/>
        </w:rPr>
      </w:pPr>
      <w:r>
        <w:rPr>
          <w:rFonts w:ascii="Arial" w:hAnsi="Arial"/>
          <w:b/>
          <w:sz w:val="22"/>
        </w:rPr>
        <w:t>Response to</w:t>
      </w:r>
      <w:r w:rsidR="00BA0C44" w:rsidRPr="00292352">
        <w:rPr>
          <w:rFonts w:ascii="Arial" w:hAnsi="Arial"/>
          <w:b/>
          <w:sz w:val="22"/>
        </w:rPr>
        <w:t>:</w:t>
      </w:r>
      <w:r w:rsidR="00BA0C44" w:rsidRPr="00292352">
        <w:rPr>
          <w:rFonts w:ascii="Arial" w:hAnsi="Arial"/>
          <w:b/>
          <w:sz w:val="22"/>
        </w:rPr>
        <w:tab/>
      </w:r>
      <w:r w:rsidR="00767813">
        <w:rPr>
          <w:rFonts w:ascii="Arial" w:hAnsi="Arial"/>
          <w:b/>
          <w:sz w:val="22"/>
        </w:rPr>
        <w:tab/>
      </w:r>
      <w:r w:rsidRPr="000932A0">
        <w:rPr>
          <w:rFonts w:ascii="Arial" w:hAnsi="Arial"/>
          <w:b/>
          <w:sz w:val="22"/>
        </w:rPr>
        <w:t>R2-2</w:t>
      </w:r>
      <w:r w:rsidR="003E0A29">
        <w:rPr>
          <w:rFonts w:ascii="Arial" w:hAnsi="Arial"/>
          <w:b/>
          <w:sz w:val="22"/>
        </w:rPr>
        <w:t>10</w:t>
      </w:r>
      <w:r w:rsidR="00400036">
        <w:rPr>
          <w:rFonts w:ascii="Arial" w:hAnsi="Arial"/>
          <w:b/>
          <w:sz w:val="22"/>
        </w:rPr>
        <w:t>9222</w:t>
      </w:r>
    </w:p>
    <w:p w14:paraId="295D0FFD" w14:textId="641672E6" w:rsidR="000932A0" w:rsidRDefault="000932A0" w:rsidP="00767813">
      <w:pPr>
        <w:tabs>
          <w:tab w:val="left" w:pos="2070"/>
          <w:tab w:val="left" w:pos="2250"/>
        </w:tabs>
        <w:spacing w:after="0"/>
        <w:ind w:left="1988" w:right="-450" w:hanging="1988"/>
        <w:jc w:val="both"/>
        <w:rPr>
          <w:rFonts w:ascii="Arial" w:hAnsi="Arial"/>
          <w:b/>
          <w:sz w:val="22"/>
        </w:rPr>
      </w:pPr>
      <w:r>
        <w:rPr>
          <w:rFonts w:ascii="Arial" w:hAnsi="Arial"/>
          <w:b/>
          <w:sz w:val="22"/>
        </w:rPr>
        <w:t xml:space="preserve">Release:           </w:t>
      </w:r>
      <w:r w:rsidR="00767813">
        <w:rPr>
          <w:rFonts w:ascii="Arial" w:hAnsi="Arial"/>
          <w:b/>
          <w:sz w:val="22"/>
        </w:rPr>
        <w:tab/>
      </w:r>
      <w:r w:rsidR="00767813">
        <w:rPr>
          <w:rFonts w:ascii="Arial" w:hAnsi="Arial"/>
          <w:b/>
          <w:sz w:val="22"/>
        </w:rPr>
        <w:tab/>
      </w:r>
      <w:r w:rsidR="00767813">
        <w:rPr>
          <w:rFonts w:ascii="Arial" w:hAnsi="Arial"/>
          <w:b/>
          <w:sz w:val="22"/>
        </w:rPr>
        <w:tab/>
      </w:r>
      <w:r>
        <w:rPr>
          <w:rFonts w:ascii="Arial" w:hAnsi="Arial"/>
          <w:b/>
          <w:sz w:val="22"/>
        </w:rPr>
        <w:t>NR R17</w:t>
      </w:r>
    </w:p>
    <w:p w14:paraId="32CD01AA" w14:textId="51B41BD2" w:rsidR="000932A0" w:rsidRDefault="000932A0" w:rsidP="00767813">
      <w:pPr>
        <w:tabs>
          <w:tab w:val="left" w:pos="2250"/>
        </w:tabs>
        <w:spacing w:after="0"/>
        <w:ind w:left="1988" w:right="-450" w:hanging="1988"/>
        <w:jc w:val="both"/>
        <w:rPr>
          <w:rFonts w:ascii="Arial" w:hAnsi="Arial"/>
          <w:b/>
          <w:sz w:val="22"/>
        </w:rPr>
      </w:pPr>
      <w:r>
        <w:rPr>
          <w:rFonts w:ascii="Arial" w:hAnsi="Arial"/>
          <w:b/>
          <w:sz w:val="22"/>
        </w:rPr>
        <w:t>W</w:t>
      </w:r>
      <w:r w:rsidR="00767813">
        <w:rPr>
          <w:rFonts w:ascii="Arial" w:hAnsi="Arial"/>
          <w:b/>
          <w:sz w:val="22"/>
        </w:rPr>
        <w:t>ork Item</w:t>
      </w:r>
      <w:r>
        <w:rPr>
          <w:rFonts w:ascii="Arial" w:hAnsi="Arial"/>
          <w:b/>
          <w:sz w:val="22"/>
        </w:rPr>
        <w:t xml:space="preserve">:       </w:t>
      </w:r>
      <w:r w:rsidR="00767813">
        <w:rPr>
          <w:rFonts w:ascii="Arial" w:hAnsi="Arial"/>
          <w:b/>
          <w:sz w:val="22"/>
        </w:rPr>
        <w:tab/>
      </w:r>
      <w:r w:rsidR="00767813">
        <w:rPr>
          <w:rFonts w:ascii="Arial" w:hAnsi="Arial"/>
          <w:b/>
          <w:sz w:val="22"/>
        </w:rPr>
        <w:tab/>
      </w:r>
      <w:proofErr w:type="spellStart"/>
      <w:r w:rsidRPr="000932A0">
        <w:rPr>
          <w:rFonts w:ascii="Arial" w:hAnsi="Arial"/>
          <w:b/>
          <w:sz w:val="22"/>
        </w:rPr>
        <w:t>NR_SmallData_INACTIVE</w:t>
      </w:r>
      <w:proofErr w:type="spellEnd"/>
      <w:r w:rsidRPr="000932A0">
        <w:rPr>
          <w:rFonts w:ascii="Arial" w:hAnsi="Arial"/>
          <w:b/>
          <w:sz w:val="22"/>
        </w:rPr>
        <w:t>-Core</w:t>
      </w:r>
    </w:p>
    <w:p w14:paraId="059C392F" w14:textId="33CC7E66" w:rsidR="00202115" w:rsidRDefault="00202115" w:rsidP="00767813">
      <w:pPr>
        <w:tabs>
          <w:tab w:val="left" w:pos="2250"/>
        </w:tabs>
        <w:spacing w:after="0"/>
        <w:ind w:left="1988" w:right="-450" w:hanging="1988"/>
        <w:jc w:val="both"/>
        <w:rPr>
          <w:rFonts w:ascii="Arial" w:hAnsi="Arial"/>
          <w:b/>
          <w:sz w:val="22"/>
        </w:rPr>
      </w:pPr>
      <w:r>
        <w:rPr>
          <w:rFonts w:ascii="Arial" w:hAnsi="Arial"/>
          <w:b/>
          <w:sz w:val="22"/>
        </w:rPr>
        <w:t xml:space="preserve">AI: </w:t>
      </w:r>
      <w:r>
        <w:rPr>
          <w:rFonts w:ascii="Arial" w:hAnsi="Arial"/>
          <w:b/>
          <w:sz w:val="22"/>
        </w:rPr>
        <w:tab/>
      </w:r>
      <w:r>
        <w:rPr>
          <w:rFonts w:ascii="Arial" w:hAnsi="Arial"/>
          <w:b/>
          <w:sz w:val="22"/>
        </w:rPr>
        <w:tab/>
        <w:t>5.2</w:t>
      </w:r>
    </w:p>
    <w:p w14:paraId="5178D842" w14:textId="0014871E"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Source:</w:t>
      </w:r>
      <w:r>
        <w:rPr>
          <w:rFonts w:ascii="Arial" w:hAnsi="Arial"/>
          <w:b/>
          <w:sz w:val="22"/>
        </w:rPr>
        <w:tab/>
      </w:r>
      <w:r>
        <w:rPr>
          <w:rFonts w:ascii="Arial" w:hAnsi="Arial"/>
          <w:b/>
          <w:sz w:val="22"/>
        </w:rPr>
        <w:tab/>
        <w:t>Qualcomm [RAN1]</w:t>
      </w:r>
    </w:p>
    <w:p w14:paraId="281DD7B2" w14:textId="6EE53555"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To:</w:t>
      </w:r>
      <w:r>
        <w:rPr>
          <w:rFonts w:ascii="Arial" w:hAnsi="Arial"/>
          <w:b/>
          <w:sz w:val="22"/>
        </w:rPr>
        <w:tab/>
      </w:r>
      <w:r>
        <w:rPr>
          <w:rFonts w:ascii="Arial" w:hAnsi="Arial"/>
          <w:b/>
          <w:sz w:val="22"/>
        </w:rPr>
        <w:tab/>
        <w:t>RAN2</w:t>
      </w:r>
    </w:p>
    <w:p w14:paraId="6A3BE5F4" w14:textId="77777777" w:rsidR="00365AC5" w:rsidRDefault="00365AC5" w:rsidP="00767813">
      <w:pPr>
        <w:tabs>
          <w:tab w:val="left" w:pos="2250"/>
        </w:tabs>
        <w:spacing w:after="0"/>
        <w:ind w:left="1988" w:right="-450" w:hanging="1988"/>
        <w:jc w:val="both"/>
        <w:rPr>
          <w:rFonts w:ascii="Arial" w:hAnsi="Arial"/>
          <w:b/>
          <w:sz w:val="22"/>
        </w:rPr>
      </w:pPr>
    </w:p>
    <w:p w14:paraId="4CFB6CB6" w14:textId="5242DB19" w:rsidR="00767813" w:rsidRPr="008A5DBC" w:rsidRDefault="00767813" w:rsidP="00767813">
      <w:pPr>
        <w:spacing w:after="0"/>
        <w:ind w:left="1985" w:hanging="1985"/>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Pr>
          <w:rFonts w:ascii="Arial" w:hAnsi="Arial" w:cs="Arial"/>
          <w:b/>
        </w:rPr>
        <w:t xml:space="preserve">  </w:t>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0BDC1DC7" w14:textId="77777777" w:rsidR="00767813" w:rsidRPr="00292352" w:rsidRDefault="00767813" w:rsidP="000932A0">
      <w:pPr>
        <w:tabs>
          <w:tab w:val="left" w:pos="1530"/>
        </w:tabs>
        <w:ind w:left="1988" w:right="-450" w:hanging="1988"/>
        <w:jc w:val="both"/>
        <w:rPr>
          <w:rFonts w:ascii="Arial" w:hAnsi="Arial"/>
          <w:b/>
          <w:sz w:val="22"/>
        </w:rPr>
      </w:pPr>
    </w:p>
    <w:p w14:paraId="4251E3CA" w14:textId="66ABA722" w:rsidR="00BA0C44" w:rsidRDefault="007856E9" w:rsidP="00BA0C44">
      <w:pPr>
        <w:pStyle w:val="Heading1"/>
        <w:rPr>
          <w:lang w:val="en-US"/>
        </w:rPr>
      </w:pPr>
      <w:r>
        <w:rPr>
          <w:lang w:val="en-US"/>
        </w:rPr>
        <w:t>Introduction</w:t>
      </w:r>
    </w:p>
    <w:p w14:paraId="42E6DC2D" w14:textId="5FD8E359" w:rsidR="007856E9" w:rsidRDefault="00715649" w:rsidP="00F2347F">
      <w:pPr>
        <w:jc w:val="both"/>
      </w:pPr>
      <w:r>
        <w:rPr>
          <w:lang w:eastAsia="zh-CN"/>
        </w:rPr>
        <w:t xml:space="preserve">RAN1 would like to thank RAN2 for the LS on </w:t>
      </w:r>
      <w:bookmarkStart w:id="1" w:name="_Hlk23927392"/>
      <w:r w:rsidR="00172E4C">
        <w:t xml:space="preserve">agreements made for </w:t>
      </w:r>
      <w:r w:rsidR="002629FE">
        <w:t xml:space="preserve">NR </w:t>
      </w:r>
      <w:r w:rsidR="00095CB6">
        <w:t>SDT</w:t>
      </w:r>
      <w:r w:rsidR="002629FE">
        <w:t xml:space="preserve"> [1]</w:t>
      </w:r>
      <w:r w:rsidR="00557FEA">
        <w:t>.</w:t>
      </w:r>
      <w:r w:rsidR="00CF21D1">
        <w:t xml:space="preserve"> In this contribution, we will</w:t>
      </w:r>
      <w:r w:rsidR="00172E4C">
        <w:t xml:space="preserve"> </w:t>
      </w:r>
      <w:r w:rsidR="00CF21D1">
        <w:t>share our views on P</w:t>
      </w:r>
      <w:r w:rsidR="00172E4C">
        <w:t>UCCH</w:t>
      </w:r>
      <w:r w:rsidR="00CF21D1">
        <w:t xml:space="preserve"> resource configuration</w:t>
      </w:r>
      <w:r w:rsidR="00573D3E">
        <w:t xml:space="preserve">, BWP configuration and BFD/BFR procedures </w:t>
      </w:r>
      <w:r w:rsidR="00B862C4">
        <w:t xml:space="preserve">in </w:t>
      </w:r>
      <w:r w:rsidR="00172E4C">
        <w:t>SDT</w:t>
      </w:r>
      <w:r w:rsidR="003729EE">
        <w:t xml:space="preserve"> [2]</w:t>
      </w:r>
      <w:r w:rsidR="00573D3E">
        <w:t>.</w:t>
      </w:r>
    </w:p>
    <w:p w14:paraId="7962CB99" w14:textId="6E5FA804" w:rsidR="007856E9" w:rsidRPr="007856E9" w:rsidRDefault="007856E9" w:rsidP="007856E9">
      <w:pPr>
        <w:pStyle w:val="Heading1"/>
        <w:rPr>
          <w:lang w:val="en-US"/>
        </w:rPr>
      </w:pPr>
      <w:r w:rsidRPr="007856E9">
        <w:rPr>
          <w:lang w:val="en-US"/>
        </w:rPr>
        <w:t>Discussion</w:t>
      </w:r>
    </w:p>
    <w:p w14:paraId="6D559EA7" w14:textId="22557978" w:rsidR="00824AB5" w:rsidRPr="007856E9" w:rsidRDefault="00824AB5" w:rsidP="007856E9">
      <w:pPr>
        <w:pStyle w:val="Heading2"/>
      </w:pPr>
      <w:bookmarkStart w:id="2" w:name="_Hlk79164822"/>
      <w:r w:rsidRPr="007856E9">
        <w:t>P</w:t>
      </w:r>
      <w:r w:rsidR="00172E4C" w:rsidRPr="007856E9">
        <w:t xml:space="preserve">UCCH </w:t>
      </w:r>
      <w:r w:rsidRPr="007856E9">
        <w:t>Resource Configuration for SDT</w:t>
      </w:r>
    </w:p>
    <w:bookmarkEnd w:id="2"/>
    <w:p w14:paraId="4C835A75" w14:textId="242E5EBF" w:rsidR="00B3774F" w:rsidRDefault="00F00C5F" w:rsidP="007856E9">
      <w:pPr>
        <w:jc w:val="both"/>
      </w:pPr>
      <w:r>
        <w:t xml:space="preserve">To enable </w:t>
      </w:r>
      <w:r w:rsidR="00172E4C">
        <w:t xml:space="preserve">successful delivery of </w:t>
      </w:r>
      <w:r w:rsidR="00B3774F">
        <w:t xml:space="preserve"> msg4/msgB in </w:t>
      </w:r>
      <w:r w:rsidR="00172E4C">
        <w:t>RA-</w:t>
      </w:r>
      <w:r>
        <w:t>SDT</w:t>
      </w:r>
      <w:r w:rsidR="00B3774F">
        <w:t>, as well as subsequent CP/UP data transmission</w:t>
      </w:r>
      <w:r w:rsidR="00172E4C">
        <w:t xml:space="preserve"> </w:t>
      </w:r>
      <w:r w:rsidR="0045701B">
        <w:t>in the</w:t>
      </w:r>
      <w:r w:rsidR="007856E9">
        <w:t xml:space="preserve"> DL </w:t>
      </w:r>
      <w:r w:rsidR="0045701B">
        <w:t xml:space="preserve">BWP associated with </w:t>
      </w:r>
      <w:r w:rsidR="00172E4C">
        <w:t>CG-SDT</w:t>
      </w:r>
      <w:r w:rsidR="00B3774F">
        <w:t>/RA-SDT</w:t>
      </w:r>
      <w:r w:rsidR="00172E4C">
        <w:t xml:space="preserve">, RAN1 agree with RAN2 </w:t>
      </w:r>
      <w:r w:rsidR="007856E9">
        <w:t xml:space="preserve">that </w:t>
      </w:r>
      <w:r w:rsidR="00B3774F">
        <w:t xml:space="preserve">HARQ-ACK </w:t>
      </w:r>
      <w:r w:rsidR="00172E4C">
        <w:t xml:space="preserve">feedback </w:t>
      </w:r>
      <w:r w:rsidR="00B3774F">
        <w:t xml:space="preserve">on UL </w:t>
      </w:r>
      <w:r w:rsidR="007856E9">
        <w:t>should be supported</w:t>
      </w:r>
      <w:r w:rsidR="006D3C68">
        <w:t>.</w:t>
      </w:r>
    </w:p>
    <w:p w14:paraId="190885B4" w14:textId="3E4226AA" w:rsidR="007856E9" w:rsidRDefault="003949BC" w:rsidP="007856E9">
      <w:pPr>
        <w:jc w:val="both"/>
      </w:pPr>
      <w:r>
        <w:t xml:space="preserve">Since SDT is performed by RRC inactive UE, both RAN1 and RAN2 have agreed that initial BWP can be used for RA-SDT and CG-SDT. </w:t>
      </w:r>
      <w:r w:rsidR="006D3C68">
        <w:t>To transmit HARQ-ACK feedback on UL, PUCCH resource sets configured in the initial UL BWP can be used by RA-SDT and CG-SDT. Specifically, a</w:t>
      </w:r>
      <w:r w:rsidR="006D3C68" w:rsidRPr="00B916EC">
        <w:t xml:space="preserve"> PUCCH resource</w:t>
      </w:r>
      <w:r w:rsidR="006D3C68">
        <w:t xml:space="preserve"> set </w:t>
      </w:r>
      <w:r w:rsidR="006D3C68" w:rsidRPr="00B916EC">
        <w:t xml:space="preserve">provided </w:t>
      </w:r>
      <w:r w:rsidR="006D3C68" w:rsidRPr="00BA67CF">
        <w:t xml:space="preserve">by </w:t>
      </w:r>
      <w:r w:rsidR="006D3C68" w:rsidRPr="00BA67CF">
        <w:rPr>
          <w:i/>
        </w:rPr>
        <w:t>pucch-</w:t>
      </w:r>
      <w:r w:rsidR="006D3C68" w:rsidRPr="00C50004">
        <w:rPr>
          <w:i/>
        </w:rPr>
        <w:t>Resource</w:t>
      </w:r>
      <w:r w:rsidR="006D3C68" w:rsidRPr="00C55E96">
        <w:rPr>
          <w:i/>
        </w:rPr>
        <w:t>Common</w:t>
      </w:r>
      <w:r w:rsidR="006D3C68" w:rsidRPr="00AF05E8">
        <w:t xml:space="preserve"> </w:t>
      </w:r>
      <w:r w:rsidR="006D3C68" w:rsidRPr="007138F8">
        <w:t xml:space="preserve">through </w:t>
      </w:r>
      <w:r w:rsidR="006D3C68" w:rsidRPr="001071EC">
        <w:t>an index to a row of Table 9.2.1-1</w:t>
      </w:r>
      <w:r w:rsidR="004C3E92">
        <w:t xml:space="preserve"> in TS 38.213</w:t>
      </w:r>
      <w:r w:rsidR="006D3C68" w:rsidRPr="001071EC">
        <w:t xml:space="preserve"> </w:t>
      </w:r>
      <w:r w:rsidR="004C3E92">
        <w:rPr>
          <w:rFonts w:eastAsia="DengXian"/>
        </w:rPr>
        <w:t xml:space="preserve">can be used for the </w:t>
      </w:r>
      <w:r w:rsidR="006D3C68" w:rsidRPr="00BA67CF">
        <w:rPr>
          <w:rFonts w:eastAsia="DengXian"/>
        </w:rPr>
        <w:t xml:space="preserve">transmission of HARQ-ACK on PUCCH in </w:t>
      </w:r>
      <w:r w:rsidR="004C3E92">
        <w:rPr>
          <w:rFonts w:eastAsia="DengXian"/>
        </w:rPr>
        <w:t>the</w:t>
      </w:r>
      <w:r w:rsidR="006D3C68" w:rsidRPr="00BA67CF">
        <w:rPr>
          <w:rFonts w:eastAsia="DengXian"/>
        </w:rPr>
        <w:t xml:space="preserve"> initial UL BWP</w:t>
      </w:r>
      <w:r w:rsidR="004C3E92">
        <w:rPr>
          <w:rFonts w:eastAsia="DengXian"/>
        </w:rPr>
        <w:t xml:space="preserve">. </w:t>
      </w:r>
      <w:r w:rsidR="00FE1778">
        <w:rPr>
          <w:rFonts w:eastAsia="DengXian"/>
        </w:rPr>
        <w:t xml:space="preserve">To improve the reliability of HARQ feedback, the SDT UE will transmit PUCCH using frequency hopping, if the UE </w:t>
      </w:r>
      <w:r w:rsidR="00FE1778" w:rsidRPr="00FE1778">
        <w:rPr>
          <w:rFonts w:eastAsia="DengXian"/>
        </w:rPr>
        <w:t>i</w:t>
      </w:r>
      <w:r w:rsidR="00FE1778">
        <w:rPr>
          <w:rFonts w:eastAsia="DengXian"/>
        </w:rPr>
        <w:t xml:space="preserve">s </w:t>
      </w:r>
      <w:r w:rsidR="00FE1778" w:rsidRPr="00FE1778">
        <w:rPr>
          <w:rFonts w:eastAsia="DengXian"/>
        </w:rPr>
        <w:t xml:space="preserve">not provided </w:t>
      </w:r>
      <w:r w:rsidR="00FE1778" w:rsidRPr="00FE1778">
        <w:rPr>
          <w:rFonts w:eastAsia="DengXian"/>
          <w:i/>
          <w:iCs/>
        </w:rPr>
        <w:t>useInterlacePUCCH-PUSCH</w:t>
      </w:r>
      <w:r w:rsidR="00FE1778" w:rsidRPr="00FE1778">
        <w:rPr>
          <w:rFonts w:eastAsia="DengXian"/>
        </w:rPr>
        <w:t xml:space="preserve"> in </w:t>
      </w:r>
      <w:r w:rsidR="00FE1778" w:rsidRPr="00227D61">
        <w:rPr>
          <w:rFonts w:eastAsia="DengXian"/>
          <w:i/>
          <w:iCs/>
        </w:rPr>
        <w:t>BWP-UplinkCommon</w:t>
      </w:r>
      <w:r w:rsidR="00FE1778">
        <w:rPr>
          <w:rFonts w:eastAsia="DengXian"/>
        </w:rPr>
        <w:t xml:space="preserve"> and is not a RedCap UE. For RedCap UE performing SDT in a separately configured initial UL BWP, PUCCH frequency hopping can be enabled/disabled by SI or RRC signaling.</w:t>
      </w:r>
    </w:p>
    <w:p w14:paraId="123245A2" w14:textId="35DDBA53" w:rsidR="004C3E92" w:rsidRDefault="00A87946" w:rsidP="007856E9">
      <w:pPr>
        <w:jc w:val="both"/>
        <w:rPr>
          <w:b/>
          <w:bCs/>
          <w:i/>
        </w:rPr>
      </w:pPr>
      <w:bookmarkStart w:id="3" w:name="_Hlk83982479"/>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w:t>
      </w:r>
      <w:r w:rsidRPr="004C2637">
        <w:rPr>
          <w:b/>
          <w:i/>
          <w:iCs/>
          <w:highlight w:val="yellow"/>
          <w:lang w:val="en-GB"/>
        </w:rPr>
        <w:fldChar w:fldCharType="end"/>
      </w:r>
      <w:r>
        <w:rPr>
          <w:b/>
          <w:i/>
          <w:iCs/>
          <w:lang w:val="en-GB"/>
        </w:rPr>
        <w:t xml:space="preserve">: In RA-SDT and CG-SDT, </w:t>
      </w:r>
      <w:r w:rsidRPr="00A87946">
        <w:rPr>
          <w:b/>
          <w:bCs/>
          <w:i/>
          <w:iCs/>
        </w:rPr>
        <w:t>HARQ-ACK feedback</w:t>
      </w:r>
      <w:r>
        <w:rPr>
          <w:b/>
          <w:bCs/>
          <w:i/>
          <w:iCs/>
        </w:rPr>
        <w:t xml:space="preserve"> to PDSCH is transmitted on </w:t>
      </w:r>
      <w:r w:rsidRPr="00A87946">
        <w:rPr>
          <w:b/>
          <w:bCs/>
          <w:i/>
        </w:rPr>
        <w:t>pucch-ResourceCommon</w:t>
      </w:r>
      <w:r>
        <w:rPr>
          <w:b/>
          <w:bCs/>
          <w:i/>
        </w:rPr>
        <w:t xml:space="preserve"> </w:t>
      </w:r>
      <w:r w:rsidR="00C45FE1">
        <w:rPr>
          <w:b/>
          <w:bCs/>
          <w:i/>
        </w:rPr>
        <w:t>configured in the initial UL BWP of inactive UE.</w:t>
      </w:r>
    </w:p>
    <w:p w14:paraId="54BF90DA" w14:textId="696E5625" w:rsidR="00C45FE1" w:rsidRDefault="00FE1778" w:rsidP="007856E9">
      <w:pPr>
        <w:jc w:val="both"/>
        <w:rPr>
          <w:rFonts w:eastAsia="DengXian"/>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2</w:t>
      </w:r>
      <w:r w:rsidRPr="004C2637">
        <w:rPr>
          <w:b/>
          <w:i/>
          <w:iCs/>
          <w:highlight w:val="yellow"/>
          <w:lang w:val="en-GB"/>
        </w:rPr>
        <w:fldChar w:fldCharType="end"/>
      </w:r>
      <w:r>
        <w:rPr>
          <w:b/>
          <w:i/>
          <w:iCs/>
          <w:lang w:val="en-GB"/>
        </w:rPr>
        <w:t xml:space="preserve">:  For a non-RedCap SDT UE, </w:t>
      </w:r>
      <w:r w:rsidR="00227D61">
        <w:rPr>
          <w:b/>
          <w:i/>
          <w:iCs/>
          <w:lang w:val="en-GB"/>
        </w:rPr>
        <w:t xml:space="preserve">PUCCH frequency hopping is enabled for HARQ-ACK transmission in the initial UL BWP, </w:t>
      </w:r>
      <w:r w:rsidR="00227D61" w:rsidRPr="00227D61">
        <w:rPr>
          <w:b/>
          <w:i/>
          <w:iCs/>
          <w:lang w:val="en-GB"/>
        </w:rPr>
        <w:t xml:space="preserve">if </w:t>
      </w:r>
      <w:r w:rsidR="00227D61" w:rsidRPr="00227D61">
        <w:rPr>
          <w:rFonts w:eastAsia="DengXian"/>
          <w:b/>
        </w:rPr>
        <w:t xml:space="preserve">the UE is not provided </w:t>
      </w:r>
      <w:r w:rsidR="00227D61" w:rsidRPr="00227D61">
        <w:rPr>
          <w:rFonts w:eastAsia="DengXian"/>
          <w:b/>
          <w:i/>
          <w:iCs/>
        </w:rPr>
        <w:t>useInterlacePUCCH-PUSCH</w:t>
      </w:r>
      <w:r w:rsidR="00227D61" w:rsidRPr="00227D61">
        <w:rPr>
          <w:rFonts w:eastAsia="DengXian"/>
          <w:b/>
        </w:rPr>
        <w:t xml:space="preserve"> in </w:t>
      </w:r>
      <w:r w:rsidR="00227D61" w:rsidRPr="00227D61">
        <w:rPr>
          <w:rFonts w:eastAsia="DengXian"/>
          <w:b/>
          <w:i/>
          <w:iCs/>
        </w:rPr>
        <w:t>BWP-UplinkCommon</w:t>
      </w:r>
      <w:r w:rsidR="00227D61">
        <w:rPr>
          <w:rFonts w:eastAsia="DengXian"/>
        </w:rPr>
        <w:t>.</w:t>
      </w:r>
    </w:p>
    <w:p w14:paraId="6F7F955E" w14:textId="263536B4" w:rsidR="00227D61" w:rsidRDefault="00227D61" w:rsidP="00227D61">
      <w:pPr>
        <w:jc w:val="both"/>
        <w:rPr>
          <w:rFonts w:eastAsia="DengXian"/>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3</w:t>
      </w:r>
      <w:r w:rsidRPr="004C2637">
        <w:rPr>
          <w:b/>
          <w:i/>
          <w:iCs/>
          <w:highlight w:val="yellow"/>
          <w:lang w:val="en-GB"/>
        </w:rPr>
        <w:fldChar w:fldCharType="end"/>
      </w:r>
      <w:r>
        <w:rPr>
          <w:b/>
          <w:i/>
          <w:iCs/>
          <w:lang w:val="en-GB"/>
        </w:rPr>
        <w:t>:  For a RedCap SDT UE</w:t>
      </w:r>
      <w:r w:rsidR="00F55AFF">
        <w:rPr>
          <w:b/>
          <w:i/>
          <w:iCs/>
          <w:lang w:val="en-GB"/>
        </w:rPr>
        <w:t xml:space="preserve"> configured with a separate initial UL BWP</w:t>
      </w:r>
      <w:r>
        <w:rPr>
          <w:b/>
          <w:i/>
          <w:iCs/>
          <w:lang w:val="en-GB"/>
        </w:rPr>
        <w:t xml:space="preserve">, PUCCH frequency hopping </w:t>
      </w:r>
      <w:r w:rsidR="00F55AFF">
        <w:rPr>
          <w:b/>
          <w:i/>
          <w:iCs/>
          <w:lang w:val="en-GB"/>
        </w:rPr>
        <w:t>can be enabled/disabled by NW via SI or RRC signal</w:t>
      </w:r>
      <w:r w:rsidR="007B0B1D">
        <w:rPr>
          <w:b/>
          <w:i/>
          <w:iCs/>
          <w:lang w:val="en-GB"/>
        </w:rPr>
        <w:t>l</w:t>
      </w:r>
      <w:r w:rsidR="00F55AFF">
        <w:rPr>
          <w:b/>
          <w:i/>
          <w:iCs/>
          <w:lang w:val="en-GB"/>
        </w:rPr>
        <w:t>ing.</w:t>
      </w:r>
    </w:p>
    <w:bookmarkEnd w:id="3"/>
    <w:p w14:paraId="21B97F96" w14:textId="2C7A3D23" w:rsidR="00030B2F" w:rsidRDefault="00030B2F" w:rsidP="00030B2F">
      <w:pPr>
        <w:pStyle w:val="Heading2"/>
      </w:pPr>
      <w:r>
        <w:t>Further Discussion on BWP Configuration for SDT</w:t>
      </w:r>
    </w:p>
    <w:p w14:paraId="553B9C21" w14:textId="48FFE611" w:rsidR="004C3E92" w:rsidRDefault="00030B2F" w:rsidP="007856E9">
      <w:pPr>
        <w:jc w:val="both"/>
        <w:rPr>
          <w:lang w:val="en-GB"/>
        </w:rPr>
      </w:pPr>
      <w:r>
        <w:rPr>
          <w:lang w:val="en-GB"/>
        </w:rPr>
        <w:t xml:space="preserve">In addition to supporting SDT on initial BWP of </w:t>
      </w:r>
      <w:r w:rsidR="007B0B1D">
        <w:rPr>
          <w:lang w:val="en-GB"/>
        </w:rPr>
        <w:t xml:space="preserve"> </w:t>
      </w:r>
      <w:r>
        <w:rPr>
          <w:lang w:val="en-GB"/>
        </w:rPr>
        <w:t>SDT UE, RAN2 also discussed the support of CG-SDT and RA-SDT on non-initial BWP</w:t>
      </w:r>
      <w:r w:rsidR="007B0B1D">
        <w:rPr>
          <w:lang w:val="en-GB"/>
        </w:rPr>
        <w:t xml:space="preserve">. Different from MIB or SIB1 configured initial DL BWP, the initial UL BWP can be as wide as the </w:t>
      </w:r>
      <w:r w:rsidR="00FA626E">
        <w:rPr>
          <w:lang w:val="en-GB"/>
        </w:rPr>
        <w:t>carrier BW or the max BW of UE. Therefore, there is no concern for the congestion in the initial UL BWP of UE</w:t>
      </w:r>
      <w:r w:rsidR="0080530B">
        <w:rPr>
          <w:lang w:val="en-GB"/>
        </w:rPr>
        <w:t>, considering R17 SDT is UL centric</w:t>
      </w:r>
      <w:r w:rsidR="00FA626E">
        <w:rPr>
          <w:lang w:val="en-GB"/>
        </w:rPr>
        <w:t xml:space="preserve">. On the other hand, a SDT UE needs to perform PRACH resource selection, TA validation, UL power control and loop maintenance procedures during the course of SDT, which are based on the measurement of SSB of serving cell. Moreover, SDT UE needs to monitor paging for DL data and/or SI update, which requires CSS for paging be configured within the DL BWP for SDT. Since the initial DL BWP includes SSB and CORESET#0, it can fulfil the requirements of SDT UE. On the other hand, supporting non-initial BWP for SDT </w:t>
      </w:r>
      <w:r w:rsidR="0080530B">
        <w:rPr>
          <w:lang w:val="en-GB"/>
        </w:rPr>
        <w:t xml:space="preserve">increases the signalling overhead (e.g. additional CSS for paging/RA, additional PRACH/PUCCH resource configuration, additional CSS for RA/paging) and UE’s power consumption during SDT (e.g. monitoring </w:t>
      </w:r>
      <w:r w:rsidR="0080530B">
        <w:rPr>
          <w:lang w:val="en-GB"/>
        </w:rPr>
        <w:lastRenderedPageBreak/>
        <w:t>CORESET#0 within a wider DL BWP, or measuring SSB outside a non-initial DL BWP). Therefore, it is not necessary to support SDT on a non-initial DL or UL BWP.</w:t>
      </w:r>
    </w:p>
    <w:p w14:paraId="49123F12" w14:textId="1B38D2AE" w:rsidR="0080530B" w:rsidRDefault="0080530B" w:rsidP="007856E9">
      <w:pPr>
        <w:jc w:val="both"/>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4</w:t>
      </w:r>
      <w:r w:rsidRPr="004C2637">
        <w:rPr>
          <w:b/>
          <w:i/>
          <w:iCs/>
          <w:highlight w:val="yellow"/>
          <w:lang w:val="en-GB"/>
        </w:rPr>
        <w:fldChar w:fldCharType="end"/>
      </w:r>
      <w:r>
        <w:rPr>
          <w:b/>
          <w:i/>
          <w:iCs/>
          <w:lang w:val="en-GB"/>
        </w:rPr>
        <w:t xml:space="preserve">:  RA-SDT and CG-SDT are not supported on non-initial BWP of </w:t>
      </w:r>
      <w:r w:rsidR="007F1098">
        <w:rPr>
          <w:b/>
          <w:i/>
          <w:iCs/>
          <w:lang w:val="en-GB"/>
        </w:rPr>
        <w:t>the RRC inactive</w:t>
      </w:r>
      <w:r>
        <w:rPr>
          <w:b/>
          <w:i/>
          <w:iCs/>
          <w:lang w:val="en-GB"/>
        </w:rPr>
        <w:t xml:space="preserve"> UE</w:t>
      </w:r>
      <w:r w:rsidR="007F1098">
        <w:rPr>
          <w:b/>
          <w:i/>
          <w:iCs/>
          <w:lang w:val="en-GB"/>
        </w:rPr>
        <w:t xml:space="preserve"> performing SDT</w:t>
      </w:r>
      <w:r>
        <w:rPr>
          <w:b/>
          <w:i/>
          <w:iCs/>
          <w:lang w:val="en-GB"/>
        </w:rPr>
        <w:t>.</w:t>
      </w:r>
    </w:p>
    <w:p w14:paraId="63DB8249" w14:textId="772228EC" w:rsidR="0080530B" w:rsidRDefault="0080530B" w:rsidP="007856E9">
      <w:pPr>
        <w:jc w:val="both"/>
        <w:rPr>
          <w:b/>
          <w:i/>
          <w:iCs/>
          <w:lang w:val="en-GB"/>
        </w:rPr>
      </w:pPr>
    </w:p>
    <w:p w14:paraId="6B852187" w14:textId="6482C0CE" w:rsidR="0080530B" w:rsidRDefault="0080530B" w:rsidP="0080530B">
      <w:pPr>
        <w:pStyle w:val="Heading2"/>
      </w:pPr>
      <w:r>
        <w:t xml:space="preserve">Discussion on </w:t>
      </w:r>
      <w:r w:rsidR="009D47DF">
        <w:t>BFD/BFR in SDT</w:t>
      </w:r>
    </w:p>
    <w:p w14:paraId="2B828AB5" w14:textId="57BB8256" w:rsidR="00FB4147" w:rsidRDefault="00FB4147" w:rsidP="007856E9">
      <w:pPr>
        <w:jc w:val="both"/>
        <w:rPr>
          <w:lang w:val="en-GB"/>
        </w:rPr>
      </w:pPr>
      <w:r>
        <w:rPr>
          <w:lang w:val="en-GB"/>
        </w:rPr>
        <w:t xml:space="preserve">In RRC connected state, if beam failure is detected on </w:t>
      </w:r>
      <w:proofErr w:type="spellStart"/>
      <w:r>
        <w:rPr>
          <w:lang w:val="en-GB"/>
        </w:rPr>
        <w:t>PCell</w:t>
      </w:r>
      <w:proofErr w:type="spellEnd"/>
      <w:r>
        <w:rPr>
          <w:lang w:val="en-GB"/>
        </w:rPr>
        <w:t xml:space="preserve">, UE can transmit a dedicated PRACH </w:t>
      </w:r>
      <w:r w:rsidR="009C67CF">
        <w:rPr>
          <w:lang w:val="en-GB"/>
        </w:rPr>
        <w:t xml:space="preserve">preamble </w:t>
      </w:r>
      <w:r>
        <w:rPr>
          <w:lang w:val="en-GB"/>
        </w:rPr>
        <w:t>to trigger BFR.</w:t>
      </w:r>
    </w:p>
    <w:p w14:paraId="64AC62A9" w14:textId="2BBB32E0" w:rsidR="00FB4147" w:rsidRDefault="00FB4147" w:rsidP="007856E9">
      <w:pPr>
        <w:jc w:val="both"/>
        <w:rPr>
          <w:lang w:val="en-GB"/>
        </w:rPr>
      </w:pPr>
      <w:r>
        <w:rPr>
          <w:lang w:val="en-GB"/>
        </w:rPr>
        <w:t xml:space="preserve">In R17 CG-SDT, </w:t>
      </w:r>
      <w:r w:rsidR="005E7C6A">
        <w:rPr>
          <w:lang w:val="en-GB"/>
        </w:rPr>
        <w:t>TA validation</w:t>
      </w:r>
      <w:r w:rsidR="006959C7">
        <w:rPr>
          <w:lang w:val="en-GB"/>
        </w:rPr>
        <w:t xml:space="preserve"> </w:t>
      </w:r>
      <w:r w:rsidR="00DC7540">
        <w:rPr>
          <w:lang w:val="en-GB"/>
        </w:rPr>
        <w:t xml:space="preserve">might </w:t>
      </w:r>
      <w:r w:rsidR="006959C7">
        <w:rPr>
          <w:lang w:val="en-GB"/>
        </w:rPr>
        <w:t>fail as a result of beam failure</w:t>
      </w:r>
      <w:r w:rsidR="00D9532B">
        <w:rPr>
          <w:lang w:val="en-GB"/>
        </w:rPr>
        <w:t>, since TA validation is based on the measurements of SSB beams</w:t>
      </w:r>
      <w:r w:rsidR="00DC7540">
        <w:rPr>
          <w:lang w:val="en-GB"/>
        </w:rPr>
        <w:t>. If the CG-SDT UE cannot find a suitable beam for CG PUSCH transmission,</w:t>
      </w:r>
      <w:r w:rsidR="006959C7">
        <w:rPr>
          <w:lang w:val="en-GB"/>
        </w:rPr>
        <w:t xml:space="preserve"> </w:t>
      </w:r>
      <w:r w:rsidR="005E7C6A">
        <w:rPr>
          <w:lang w:val="en-GB"/>
        </w:rPr>
        <w:t>UE can switch to RA-SDT without triggering BFR</w:t>
      </w:r>
      <w:r w:rsidR="00DC7540">
        <w:rPr>
          <w:lang w:val="en-GB"/>
        </w:rPr>
        <w:t xml:space="preserve">. </w:t>
      </w:r>
      <w:r w:rsidR="008867D9">
        <w:rPr>
          <w:lang w:val="en-GB"/>
        </w:rPr>
        <w:t>Compared to BFD/BFR, f</w:t>
      </w:r>
      <w:r w:rsidR="00DC7540">
        <w:rPr>
          <w:lang w:val="en-GB"/>
        </w:rPr>
        <w:t xml:space="preserve">allback from CG-SDT to RA-SDT </w:t>
      </w:r>
      <w:r w:rsidR="008867D9">
        <w:rPr>
          <w:lang w:val="en-GB"/>
        </w:rPr>
        <w:t>has less overhead and saves UE’s power.</w:t>
      </w:r>
    </w:p>
    <w:p w14:paraId="7488CFFB" w14:textId="3F47370D" w:rsidR="0080530B" w:rsidRDefault="005E7C6A" w:rsidP="007856E9">
      <w:pPr>
        <w:jc w:val="both"/>
        <w:rPr>
          <w:lang w:val="en-GB"/>
        </w:rPr>
      </w:pPr>
      <w:bookmarkStart w:id="4" w:name="_Hlk83982507"/>
      <w:bookmarkStart w:id="5" w:name="_Hlk84007815"/>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DC7540">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r w:rsidR="00D651B2">
        <w:rPr>
          <w:b/>
          <w:i/>
          <w:iCs/>
          <w:lang w:val="en-GB"/>
        </w:rPr>
        <w:t xml:space="preserve">If </w:t>
      </w:r>
      <w:r w:rsidR="00DC7540">
        <w:rPr>
          <w:b/>
          <w:i/>
          <w:iCs/>
          <w:lang w:val="en-GB"/>
        </w:rPr>
        <w:t xml:space="preserve">suitable SSB beam cannot be found </w:t>
      </w:r>
      <w:r w:rsidR="008867D9">
        <w:rPr>
          <w:b/>
          <w:i/>
          <w:iCs/>
          <w:lang w:val="en-GB"/>
        </w:rPr>
        <w:t>or the SSB-based TA validation fail</w:t>
      </w:r>
      <w:r w:rsidR="00835ABE">
        <w:rPr>
          <w:b/>
          <w:i/>
          <w:iCs/>
          <w:lang w:val="en-GB"/>
        </w:rPr>
        <w:t>s</w:t>
      </w:r>
      <w:r w:rsidR="00D651B2">
        <w:rPr>
          <w:b/>
          <w:i/>
          <w:iCs/>
          <w:lang w:val="en-GB"/>
        </w:rPr>
        <w:t xml:space="preserve">, </w:t>
      </w:r>
      <w:r w:rsidR="00DC7540">
        <w:rPr>
          <w:b/>
          <w:i/>
          <w:iCs/>
          <w:lang w:val="en-GB"/>
        </w:rPr>
        <w:t xml:space="preserve">the </w:t>
      </w:r>
      <w:r w:rsidR="008867D9">
        <w:rPr>
          <w:b/>
          <w:i/>
          <w:iCs/>
          <w:lang w:val="en-GB"/>
        </w:rPr>
        <w:t xml:space="preserve">RRC inactive </w:t>
      </w:r>
      <w:r w:rsidR="00D651B2">
        <w:rPr>
          <w:b/>
          <w:i/>
          <w:iCs/>
          <w:lang w:val="en-GB"/>
        </w:rPr>
        <w:t xml:space="preserve">UE </w:t>
      </w:r>
      <w:r w:rsidR="008867D9">
        <w:rPr>
          <w:b/>
          <w:i/>
          <w:iCs/>
          <w:lang w:val="en-GB"/>
        </w:rPr>
        <w:t xml:space="preserve">configured with CG-SDT resources </w:t>
      </w:r>
      <w:r w:rsidR="00D651B2">
        <w:rPr>
          <w:b/>
          <w:i/>
          <w:iCs/>
          <w:lang w:val="en-GB"/>
        </w:rPr>
        <w:t xml:space="preserve">can switch to RA-SDT without triggering </w:t>
      </w:r>
      <w:r w:rsidR="00DC7540">
        <w:rPr>
          <w:b/>
          <w:i/>
          <w:iCs/>
          <w:lang w:val="en-GB"/>
        </w:rPr>
        <w:t>BFD/</w:t>
      </w:r>
      <w:r w:rsidR="00D651B2">
        <w:rPr>
          <w:b/>
          <w:i/>
          <w:iCs/>
          <w:lang w:val="en-GB"/>
        </w:rPr>
        <w:t>BFR</w:t>
      </w:r>
      <w:bookmarkEnd w:id="4"/>
      <w:r w:rsidR="00835ABE">
        <w:rPr>
          <w:b/>
          <w:i/>
          <w:iCs/>
          <w:lang w:val="en-GB"/>
        </w:rPr>
        <w:t>, if RA-SDT is configured in the initial BWP of UE.</w:t>
      </w:r>
    </w:p>
    <w:bookmarkEnd w:id="5"/>
    <w:p w14:paraId="45A2605C" w14:textId="6788CCCA" w:rsidR="00D651B2" w:rsidRDefault="00D651B2" w:rsidP="007856E9">
      <w:pPr>
        <w:jc w:val="both"/>
        <w:rPr>
          <w:lang w:val="en-GB"/>
        </w:rPr>
      </w:pPr>
      <w:r>
        <w:rPr>
          <w:lang w:val="en-GB"/>
        </w:rPr>
        <w:t xml:space="preserve">In R17 RA-SDT, UE cannot be configured with a dedicated PRACH resource before contention resolution. However, the RA-SDT UE can be configured with a dedicated PRACH resource after contention resolution. If there is subsequent SDT transmission after contention resolution, UE can stay in RRC inactive state and re-use the </w:t>
      </w:r>
      <w:r w:rsidR="006959C7">
        <w:rPr>
          <w:lang w:val="en-GB"/>
        </w:rPr>
        <w:t xml:space="preserve">legacy BFD/BFR procedure. </w:t>
      </w:r>
      <w:r w:rsidR="00E830BA">
        <w:rPr>
          <w:lang w:val="en-GB"/>
        </w:rPr>
        <w:t>On the other hand, if beam failure happens during the course of RA-SDT, the RA-SDT UE can re-attempt the RACH procedure (with or without switching the RACH type) without triggering BFR.</w:t>
      </w:r>
    </w:p>
    <w:p w14:paraId="08192E40" w14:textId="7BD007F4" w:rsidR="00E830BA" w:rsidRDefault="00E830BA" w:rsidP="00E830BA">
      <w:pPr>
        <w:jc w:val="both"/>
        <w:rPr>
          <w:b/>
          <w:i/>
          <w:iCs/>
          <w:lang w:val="en-GB"/>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3F3BDC">
        <w:rPr>
          <w:b/>
          <w:i/>
          <w:iCs/>
          <w:noProof/>
          <w:highlight w:val="yellow"/>
          <w:lang w:val="en-GB"/>
        </w:rPr>
        <w:t>2</w:t>
      </w:r>
      <w:r>
        <w:rPr>
          <w:b/>
          <w:i/>
          <w:iCs/>
          <w:highlight w:val="yellow"/>
          <w:lang w:val="en-GB"/>
        </w:rPr>
        <w:fldChar w:fldCharType="end"/>
      </w:r>
      <w:r>
        <w:rPr>
          <w:b/>
          <w:i/>
          <w:iCs/>
          <w:highlight w:val="yellow"/>
          <w:lang w:val="en-GB"/>
        </w:rPr>
        <w:t xml:space="preserve">: </w:t>
      </w:r>
      <w:r>
        <w:rPr>
          <w:b/>
          <w:i/>
          <w:iCs/>
          <w:lang w:val="en-GB"/>
        </w:rPr>
        <w:t xml:space="preserve"> If beam failure is detected by a RA-SDT UE, </w:t>
      </w:r>
      <w:r w:rsidR="00961E65">
        <w:rPr>
          <w:b/>
          <w:i/>
          <w:iCs/>
          <w:lang w:val="en-GB"/>
        </w:rPr>
        <w:t xml:space="preserve">the RRC inactive </w:t>
      </w:r>
      <w:r>
        <w:rPr>
          <w:b/>
          <w:i/>
          <w:iCs/>
          <w:lang w:val="en-GB"/>
        </w:rPr>
        <w:t>UE can re-attempt RACH procedure</w:t>
      </w:r>
      <w:r w:rsidR="008867D9">
        <w:rPr>
          <w:b/>
          <w:i/>
          <w:iCs/>
          <w:lang w:val="en-GB"/>
        </w:rPr>
        <w:t xml:space="preserve"> in the initial BWP</w:t>
      </w:r>
      <w:r>
        <w:rPr>
          <w:b/>
          <w:i/>
          <w:iCs/>
          <w:lang w:val="en-GB"/>
        </w:rPr>
        <w:t xml:space="preserve"> without triggering BFR. </w:t>
      </w:r>
    </w:p>
    <w:p w14:paraId="41C7522A" w14:textId="51694BD3" w:rsidR="00E830BA" w:rsidRDefault="00E830BA" w:rsidP="007856E9">
      <w:pPr>
        <w:jc w:val="both"/>
        <w:rPr>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8867D9">
        <w:rPr>
          <w:b/>
          <w:i/>
          <w:iCs/>
          <w:noProof/>
          <w:highlight w:val="yellow"/>
          <w:lang w:val="en-GB"/>
        </w:rPr>
        <w:t>5</w:t>
      </w:r>
      <w:r w:rsidRPr="004C2637">
        <w:rPr>
          <w:b/>
          <w:i/>
          <w:iCs/>
          <w:highlight w:val="yellow"/>
          <w:lang w:val="en-GB"/>
        </w:rPr>
        <w:fldChar w:fldCharType="end"/>
      </w:r>
      <w:r w:rsidR="000E3AB2">
        <w:rPr>
          <w:b/>
          <w:i/>
          <w:iCs/>
          <w:lang w:val="en-GB"/>
        </w:rPr>
        <w:t xml:space="preserve">: </w:t>
      </w:r>
      <w:r w:rsidR="008867D9">
        <w:rPr>
          <w:b/>
          <w:i/>
          <w:iCs/>
          <w:lang w:val="en-GB"/>
        </w:rPr>
        <w:t xml:space="preserve">The </w:t>
      </w:r>
      <w:r w:rsidR="000E3AB2">
        <w:rPr>
          <w:b/>
          <w:i/>
          <w:iCs/>
          <w:lang w:val="en-GB"/>
        </w:rPr>
        <w:t>complexity/overhead impacts of BFD/BFR in SDT</w:t>
      </w:r>
      <w:r w:rsidR="008867D9">
        <w:rPr>
          <w:b/>
          <w:i/>
          <w:iCs/>
          <w:lang w:val="en-GB"/>
        </w:rPr>
        <w:t xml:space="preserve"> need to be studied and compared with the fallback procedure based on RA-SDT.</w:t>
      </w:r>
    </w:p>
    <w:p w14:paraId="48104341" w14:textId="77777777" w:rsidR="00E830BA" w:rsidRPr="00030B2F" w:rsidRDefault="00E830BA" w:rsidP="007856E9">
      <w:pPr>
        <w:jc w:val="both"/>
        <w:rPr>
          <w:lang w:val="en-GB"/>
        </w:rPr>
      </w:pPr>
    </w:p>
    <w:p w14:paraId="66F1EF9B" w14:textId="06B96E90" w:rsidR="00A37289" w:rsidRDefault="00A37289" w:rsidP="00A37289">
      <w:pPr>
        <w:pStyle w:val="Heading1"/>
      </w:pPr>
      <w:r>
        <w:t>Conclusions</w:t>
      </w:r>
    </w:p>
    <w:p w14:paraId="12D330D4" w14:textId="236B3CF2" w:rsidR="00A37289" w:rsidRDefault="00A37289" w:rsidP="00A37289">
      <w:pPr>
        <w:jc w:val="both"/>
        <w:rPr>
          <w:rFonts w:eastAsiaTheme="minorEastAsia"/>
        </w:rPr>
      </w:pPr>
      <w:r w:rsidRPr="00ED7666">
        <w:rPr>
          <w:rFonts w:eastAsiaTheme="minorEastAsia"/>
        </w:rPr>
        <w:t xml:space="preserve">RAN1 respectfully asks RAN2 to take RAN1’s feedback on </w:t>
      </w:r>
      <w:r>
        <w:t xml:space="preserve">physical layer aspects </w:t>
      </w:r>
      <w:r w:rsidRPr="000C19B5">
        <w:t xml:space="preserve">of </w:t>
      </w:r>
      <w:r>
        <w:t xml:space="preserve">RACH-based and CG-based </w:t>
      </w:r>
      <w:r w:rsidRPr="000C19B5">
        <w:t>small data transmission</w:t>
      </w:r>
      <w:r w:rsidRPr="00ED7666">
        <w:rPr>
          <w:rFonts w:eastAsiaTheme="minorEastAsia"/>
        </w:rPr>
        <w:t xml:space="preserve"> into account in their specification work.</w:t>
      </w:r>
    </w:p>
    <w:p w14:paraId="7D07C9B9" w14:textId="5E9D6EB6" w:rsidR="008867D9" w:rsidRDefault="008867D9" w:rsidP="008867D9">
      <w:pPr>
        <w:jc w:val="both"/>
        <w:rPr>
          <w:lang w:val="en-GB"/>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If suitable SSB beam cannot be found or the SSB-based TA validation fails, the RRC inactive UE configured with CG-SDT resources can switch to RA-SDT without triggering BFD/BFR</w:t>
      </w:r>
      <w:r w:rsidR="00835ABE">
        <w:rPr>
          <w:b/>
          <w:i/>
          <w:iCs/>
          <w:lang w:val="en-GB"/>
        </w:rPr>
        <w:t>, if RA-SDT is configured in the initial BWP of UE.</w:t>
      </w:r>
    </w:p>
    <w:p w14:paraId="3BB31984" w14:textId="1D14E38C" w:rsidR="008867D9" w:rsidRPr="003F3BDC" w:rsidRDefault="008867D9" w:rsidP="00A37289">
      <w:pPr>
        <w:jc w:val="both"/>
        <w:rPr>
          <w:b/>
          <w:i/>
          <w:iCs/>
          <w:lang w:val="en-GB"/>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Pr>
          <w:b/>
          <w:i/>
          <w:iCs/>
          <w:highlight w:val="yellow"/>
          <w:lang w:val="en-GB"/>
        </w:rPr>
        <w:t xml:space="preserve">: </w:t>
      </w:r>
      <w:r>
        <w:rPr>
          <w:b/>
          <w:i/>
          <w:iCs/>
          <w:lang w:val="en-GB"/>
        </w:rPr>
        <w:t xml:space="preserve"> If beam failure is detected by a RA-SDT UE, </w:t>
      </w:r>
      <w:r w:rsidR="00961E65">
        <w:rPr>
          <w:b/>
          <w:i/>
          <w:iCs/>
          <w:lang w:val="en-GB"/>
        </w:rPr>
        <w:t xml:space="preserve">the RRC inactive </w:t>
      </w:r>
      <w:r>
        <w:rPr>
          <w:b/>
          <w:i/>
          <w:iCs/>
          <w:lang w:val="en-GB"/>
        </w:rPr>
        <w:t xml:space="preserve">UE can re-attempt RACH procedure in the initial BWP without triggering BFR. </w:t>
      </w:r>
    </w:p>
    <w:p w14:paraId="6C0BBFAC" w14:textId="77777777" w:rsidR="00A37289" w:rsidRDefault="00A37289" w:rsidP="00A37289">
      <w:pPr>
        <w:jc w:val="both"/>
        <w:rPr>
          <w:b/>
          <w:bCs/>
          <w:i/>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w:t>
      </w:r>
      <w:r w:rsidRPr="004C2637">
        <w:rPr>
          <w:b/>
          <w:i/>
          <w:iCs/>
          <w:highlight w:val="yellow"/>
          <w:lang w:val="en-GB"/>
        </w:rPr>
        <w:fldChar w:fldCharType="end"/>
      </w:r>
      <w:r>
        <w:rPr>
          <w:b/>
          <w:i/>
          <w:iCs/>
          <w:lang w:val="en-GB"/>
        </w:rPr>
        <w:t xml:space="preserve">: In RA-SDT and CG-SDT, </w:t>
      </w:r>
      <w:r w:rsidRPr="00A87946">
        <w:rPr>
          <w:b/>
          <w:bCs/>
          <w:i/>
          <w:iCs/>
        </w:rPr>
        <w:t>HARQ-ACK feedback</w:t>
      </w:r>
      <w:r>
        <w:rPr>
          <w:b/>
          <w:bCs/>
          <w:i/>
          <w:iCs/>
        </w:rPr>
        <w:t xml:space="preserve"> to PDSCH is transmitted on </w:t>
      </w:r>
      <w:r w:rsidRPr="00A87946">
        <w:rPr>
          <w:b/>
          <w:bCs/>
          <w:i/>
        </w:rPr>
        <w:t>pucch-ResourceCommon</w:t>
      </w:r>
      <w:r>
        <w:rPr>
          <w:b/>
          <w:bCs/>
          <w:i/>
        </w:rPr>
        <w:t xml:space="preserve"> configured in the initial UL BWP of inactive UE.</w:t>
      </w:r>
    </w:p>
    <w:p w14:paraId="19C51802" w14:textId="77777777" w:rsidR="00A37289" w:rsidRDefault="00A37289" w:rsidP="00A37289">
      <w:pPr>
        <w:jc w:val="both"/>
        <w:rPr>
          <w:rFonts w:eastAsia="DengXian"/>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2</w:t>
      </w:r>
      <w:r w:rsidRPr="004C2637">
        <w:rPr>
          <w:b/>
          <w:i/>
          <w:iCs/>
          <w:highlight w:val="yellow"/>
          <w:lang w:val="en-GB"/>
        </w:rPr>
        <w:fldChar w:fldCharType="end"/>
      </w:r>
      <w:r>
        <w:rPr>
          <w:b/>
          <w:i/>
          <w:iCs/>
          <w:lang w:val="en-GB"/>
        </w:rPr>
        <w:t xml:space="preserve">:  For a non-RedCap SDT UE, PUCCH frequency hopping is enabled for HARQ-ACK transmission in the initial UL BWP, </w:t>
      </w:r>
      <w:r w:rsidRPr="00227D61">
        <w:rPr>
          <w:b/>
          <w:i/>
          <w:iCs/>
          <w:lang w:val="en-GB"/>
        </w:rPr>
        <w:t xml:space="preserve">if </w:t>
      </w:r>
      <w:r w:rsidRPr="002A6F87">
        <w:rPr>
          <w:rFonts w:eastAsia="DengXian"/>
          <w:b/>
          <w:i/>
          <w:iCs/>
        </w:rPr>
        <w:t>the UE is not provided</w:t>
      </w:r>
      <w:r w:rsidRPr="00227D61">
        <w:rPr>
          <w:rFonts w:eastAsia="DengXian"/>
          <w:b/>
        </w:rPr>
        <w:t xml:space="preserve"> </w:t>
      </w:r>
      <w:r w:rsidRPr="00227D61">
        <w:rPr>
          <w:rFonts w:eastAsia="DengXian"/>
          <w:b/>
          <w:i/>
          <w:iCs/>
        </w:rPr>
        <w:t>useInterlacePUCCH-PUSCH</w:t>
      </w:r>
      <w:r w:rsidRPr="00227D61">
        <w:rPr>
          <w:rFonts w:eastAsia="DengXian"/>
          <w:b/>
        </w:rPr>
        <w:t xml:space="preserve"> in </w:t>
      </w:r>
      <w:r w:rsidRPr="00227D61">
        <w:rPr>
          <w:rFonts w:eastAsia="DengXian"/>
          <w:b/>
          <w:i/>
          <w:iCs/>
        </w:rPr>
        <w:t>BWP-UplinkCommon</w:t>
      </w:r>
      <w:r>
        <w:rPr>
          <w:rFonts w:eastAsia="DengXian"/>
        </w:rPr>
        <w:t>.</w:t>
      </w:r>
    </w:p>
    <w:p w14:paraId="3936C0BF" w14:textId="77777777" w:rsidR="00A37289" w:rsidRDefault="00A37289" w:rsidP="00A37289">
      <w:pPr>
        <w:jc w:val="both"/>
        <w:rPr>
          <w:rFonts w:eastAsia="DengXian"/>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3</w:t>
      </w:r>
      <w:r w:rsidRPr="004C2637">
        <w:rPr>
          <w:b/>
          <w:i/>
          <w:iCs/>
          <w:highlight w:val="yellow"/>
          <w:lang w:val="en-GB"/>
        </w:rPr>
        <w:fldChar w:fldCharType="end"/>
      </w:r>
      <w:r>
        <w:rPr>
          <w:b/>
          <w:i/>
          <w:iCs/>
          <w:lang w:val="en-GB"/>
        </w:rPr>
        <w:t>:  For a RedCap SDT UE configured with a separate initial UL BWP, PUCCH frequency hopping can be enabled/disabled by NW via SI or RRC signalling.</w:t>
      </w:r>
    </w:p>
    <w:p w14:paraId="402DFA43" w14:textId="4245D4CF" w:rsidR="00A37289" w:rsidRDefault="00A37289" w:rsidP="00A37289">
      <w:pPr>
        <w:jc w:val="both"/>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4</w:t>
      </w:r>
      <w:r w:rsidRPr="004C2637">
        <w:rPr>
          <w:b/>
          <w:i/>
          <w:iCs/>
          <w:highlight w:val="yellow"/>
          <w:lang w:val="en-GB"/>
        </w:rPr>
        <w:fldChar w:fldCharType="end"/>
      </w:r>
      <w:r>
        <w:rPr>
          <w:b/>
          <w:i/>
          <w:iCs/>
          <w:lang w:val="en-GB"/>
        </w:rPr>
        <w:t xml:space="preserve">:  RA-SDT and CG-SDT are not supported on non-initial BWP of </w:t>
      </w:r>
      <w:r w:rsidR="007F1098">
        <w:rPr>
          <w:b/>
          <w:i/>
          <w:iCs/>
          <w:lang w:val="en-GB"/>
        </w:rPr>
        <w:t xml:space="preserve">the RRC inactive </w:t>
      </w:r>
      <w:r>
        <w:rPr>
          <w:b/>
          <w:i/>
          <w:iCs/>
          <w:lang w:val="en-GB"/>
        </w:rPr>
        <w:t>UE</w:t>
      </w:r>
      <w:r w:rsidR="007F1098">
        <w:rPr>
          <w:b/>
          <w:i/>
          <w:iCs/>
          <w:lang w:val="en-GB"/>
        </w:rPr>
        <w:t xml:space="preserve"> performing SDT</w:t>
      </w:r>
      <w:r>
        <w:rPr>
          <w:b/>
          <w:i/>
          <w:iCs/>
          <w:lang w:val="en-GB"/>
        </w:rPr>
        <w:t>.</w:t>
      </w:r>
    </w:p>
    <w:p w14:paraId="11A39DF4" w14:textId="26B72DD9" w:rsidR="00863DDC" w:rsidRPr="003F3BDC" w:rsidRDefault="008867D9" w:rsidP="003F3BDC">
      <w:pPr>
        <w:jc w:val="both"/>
        <w:rPr>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5</w:t>
      </w:r>
      <w:r w:rsidRPr="004C2637">
        <w:rPr>
          <w:b/>
          <w:i/>
          <w:iCs/>
          <w:highlight w:val="yellow"/>
          <w:lang w:val="en-GB"/>
        </w:rPr>
        <w:fldChar w:fldCharType="end"/>
      </w:r>
      <w:r>
        <w:rPr>
          <w:b/>
          <w:i/>
          <w:iCs/>
          <w:lang w:val="en-GB"/>
        </w:rPr>
        <w:t>: The complexity/overhead impacts of  BFD/BFR in SDT need to be studied and compared with the fallback procedure based on RA-SDT.</w:t>
      </w:r>
    </w:p>
    <w:bookmarkEnd w:id="1"/>
    <w:p w14:paraId="28F8DBA7" w14:textId="10347BC7" w:rsidR="006C725F" w:rsidRPr="006C725F" w:rsidRDefault="006C725F" w:rsidP="006C725F">
      <w:pPr>
        <w:pStyle w:val="Heading1"/>
      </w:pPr>
      <w:r w:rsidRPr="006C725F">
        <w:lastRenderedPageBreak/>
        <w:t>Dates of Next TSG-RAN1 Meetings:</w:t>
      </w:r>
    </w:p>
    <w:p w14:paraId="46EE2D9E" w14:textId="77777777" w:rsidR="00400036" w:rsidRPr="005A2CD7" w:rsidRDefault="00400036" w:rsidP="00400036">
      <w:pPr>
        <w:rPr>
          <w:rFonts w:eastAsia="MS Mincho"/>
          <w:bCs/>
          <w:lang w:eastAsia="ja-JP"/>
        </w:rPr>
      </w:pPr>
      <w:r w:rsidRPr="005A2CD7">
        <w:rPr>
          <w:rFonts w:eastAsia="MS Mincho"/>
          <w:bCs/>
          <w:lang w:eastAsia="ja-JP"/>
        </w:rPr>
        <w:t>TSG-RAN WG</w:t>
      </w:r>
      <w:r>
        <w:rPr>
          <w:rFonts w:eastAsia="MS Mincho"/>
          <w:bCs/>
          <w:lang w:eastAsia="ja-JP"/>
        </w:rPr>
        <w:t>1</w:t>
      </w:r>
      <w:r w:rsidRPr="005A2CD7">
        <w:rPr>
          <w:rFonts w:eastAsia="MS Mincho"/>
          <w:bCs/>
          <w:lang w:eastAsia="ja-JP"/>
        </w:rPr>
        <w:t xml:space="preserve"> Meeting #1</w:t>
      </w:r>
      <w:r>
        <w:rPr>
          <w:rFonts w:eastAsia="MS Mincho"/>
          <w:bCs/>
          <w:lang w:eastAsia="ja-JP"/>
        </w:rPr>
        <w:t>07</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Pr>
          <w:rFonts w:eastAsia="MS Mincho"/>
          <w:bCs/>
          <w:lang w:eastAsia="ja-JP"/>
        </w:rPr>
        <w:t>1</w:t>
      </w:r>
      <w:r w:rsidRPr="005A2CD7">
        <w:rPr>
          <w:rFonts w:eastAsia="MS Mincho"/>
          <w:bCs/>
          <w:lang w:eastAsia="ja-JP"/>
        </w:rPr>
        <w:t>1</w:t>
      </w:r>
      <w:r w:rsidRPr="005A2CD7">
        <w:rPr>
          <w:rFonts w:eastAsia="MS Mincho"/>
          <w:bCs/>
          <w:vertAlign w:val="superscript"/>
          <w:lang w:eastAsia="ja-JP"/>
        </w:rPr>
        <w:t>t</w:t>
      </w:r>
      <w:r>
        <w:rPr>
          <w:rFonts w:eastAsia="MS Mincho"/>
          <w:bCs/>
          <w:vertAlign w:val="superscript"/>
          <w:lang w:eastAsia="ja-JP"/>
        </w:rPr>
        <w:t>h</w:t>
      </w:r>
      <w:r w:rsidRPr="005A2CD7">
        <w:rPr>
          <w:rFonts w:eastAsia="MS Mincho"/>
          <w:bCs/>
          <w:lang w:eastAsia="ja-JP"/>
        </w:rPr>
        <w:t xml:space="preserve"> – 1</w:t>
      </w:r>
      <w:r>
        <w:rPr>
          <w:rFonts w:eastAsia="MS Mincho"/>
          <w:bCs/>
          <w:lang w:eastAsia="ja-JP"/>
        </w:rPr>
        <w:t>9</w:t>
      </w:r>
      <w:r w:rsidRPr="005A2CD7">
        <w:rPr>
          <w:rFonts w:eastAsia="MS Mincho"/>
          <w:bCs/>
          <w:vertAlign w:val="superscript"/>
          <w:lang w:eastAsia="ja-JP"/>
        </w:rPr>
        <w:t>th</w:t>
      </w:r>
      <w:r w:rsidRPr="005A2CD7">
        <w:rPr>
          <w:rFonts w:eastAsia="MS Mincho"/>
          <w:bCs/>
          <w:lang w:eastAsia="ja-JP"/>
        </w:rPr>
        <w:t xml:space="preserve"> Novem</w:t>
      </w:r>
      <w:r>
        <w:rPr>
          <w:rFonts w:eastAsia="MS Mincho"/>
          <w:bCs/>
          <w:lang w:eastAsia="ja-JP"/>
        </w:rPr>
        <w:t>ber</w:t>
      </w:r>
      <w:r w:rsidRPr="005A2CD7">
        <w:rPr>
          <w:rFonts w:eastAsia="MS Mincho"/>
          <w:bCs/>
          <w:lang w:eastAsia="ja-JP"/>
        </w:rPr>
        <w:t xml:space="preserve"> 2021</w:t>
      </w:r>
      <w:r>
        <w:rPr>
          <w:rFonts w:eastAsia="MS Mincho"/>
          <w:bCs/>
          <w:lang w:eastAsia="ja-JP"/>
        </w:rPr>
        <w:tab/>
      </w:r>
      <w:r>
        <w:rPr>
          <w:rFonts w:eastAsia="MS Mincho"/>
          <w:bCs/>
          <w:lang w:eastAsia="ja-JP"/>
        </w:rPr>
        <w:tab/>
      </w:r>
      <w:r>
        <w:rPr>
          <w:rFonts w:eastAsia="MS Mincho"/>
          <w:bCs/>
          <w:lang w:eastAsia="ja-JP"/>
        </w:rPr>
        <w:tab/>
      </w:r>
      <w:r w:rsidRPr="005A2CD7">
        <w:rPr>
          <w:rFonts w:eastAsia="MS Mincho"/>
          <w:bCs/>
          <w:lang w:eastAsia="ja-JP"/>
        </w:rPr>
        <w:t>E-meeting</w:t>
      </w:r>
    </w:p>
    <w:p w14:paraId="5414717A" w14:textId="0EFFEF55" w:rsidR="00172E4C" w:rsidRPr="005A2CD7" w:rsidRDefault="00172E4C" w:rsidP="00172E4C">
      <w:pPr>
        <w:rPr>
          <w:rFonts w:eastAsia="MS Mincho"/>
          <w:bCs/>
          <w:lang w:eastAsia="ja-JP"/>
        </w:rPr>
      </w:pPr>
      <w:r w:rsidRPr="005A2CD7">
        <w:rPr>
          <w:rFonts w:eastAsia="MS Mincho"/>
          <w:bCs/>
          <w:lang w:eastAsia="ja-JP"/>
        </w:rPr>
        <w:t>TSG-RAN WG</w:t>
      </w:r>
      <w:r>
        <w:rPr>
          <w:rFonts w:eastAsia="MS Mincho"/>
          <w:bCs/>
          <w:lang w:eastAsia="ja-JP"/>
        </w:rPr>
        <w:t>1</w:t>
      </w:r>
      <w:r w:rsidRPr="005A2CD7">
        <w:rPr>
          <w:rFonts w:eastAsia="MS Mincho"/>
          <w:bCs/>
          <w:lang w:eastAsia="ja-JP"/>
        </w:rPr>
        <w:t xml:space="preserve"> Meeting #1</w:t>
      </w:r>
      <w:r>
        <w:rPr>
          <w:rFonts w:eastAsia="MS Mincho"/>
          <w:bCs/>
          <w:lang w:eastAsia="ja-JP"/>
        </w:rPr>
        <w:t>07bis</w:t>
      </w:r>
      <w:r w:rsidR="00FD5BF4">
        <w:rPr>
          <w:rFonts w:eastAsia="MS Mincho"/>
          <w:bCs/>
          <w:lang w:eastAsia="ja-JP"/>
        </w:rPr>
        <w:t>-</w:t>
      </w:r>
      <w:r>
        <w:rPr>
          <w:rFonts w:eastAsia="MS Mincho"/>
          <w:bCs/>
          <w:lang w:eastAsia="ja-JP"/>
        </w:rPr>
        <w:t xml:space="preserve">e                     </w:t>
      </w:r>
      <w:r w:rsidRPr="005A2CD7">
        <w:rPr>
          <w:rFonts w:eastAsia="MS Mincho"/>
          <w:bCs/>
          <w:lang w:eastAsia="ja-JP"/>
        </w:rPr>
        <w:t xml:space="preserve"> </w:t>
      </w:r>
      <w:r>
        <w:rPr>
          <w:rFonts w:eastAsia="MS Mincho"/>
          <w:bCs/>
          <w:lang w:eastAsia="ja-JP"/>
        </w:rPr>
        <w:t>17</w:t>
      </w:r>
      <w:r w:rsidRPr="005A2CD7">
        <w:rPr>
          <w:rFonts w:eastAsia="MS Mincho"/>
          <w:bCs/>
          <w:vertAlign w:val="superscript"/>
          <w:lang w:eastAsia="ja-JP"/>
        </w:rPr>
        <w:t>t</w:t>
      </w:r>
      <w:r>
        <w:rPr>
          <w:rFonts w:eastAsia="MS Mincho"/>
          <w:bCs/>
          <w:vertAlign w:val="superscript"/>
          <w:lang w:eastAsia="ja-JP"/>
        </w:rPr>
        <w:t>h</w:t>
      </w:r>
      <w:r w:rsidRPr="005A2CD7">
        <w:rPr>
          <w:rFonts w:eastAsia="MS Mincho"/>
          <w:bCs/>
          <w:lang w:eastAsia="ja-JP"/>
        </w:rPr>
        <w:t xml:space="preserve"> – </w:t>
      </w:r>
      <w:r>
        <w:rPr>
          <w:rFonts w:eastAsia="MS Mincho"/>
          <w:bCs/>
          <w:lang w:eastAsia="ja-JP"/>
        </w:rPr>
        <w:t>25</w:t>
      </w:r>
      <w:r w:rsidRPr="005A2CD7">
        <w:rPr>
          <w:rFonts w:eastAsia="MS Mincho"/>
          <w:bCs/>
          <w:vertAlign w:val="superscript"/>
          <w:lang w:eastAsia="ja-JP"/>
        </w:rPr>
        <w:t>th</w:t>
      </w:r>
      <w:r w:rsidRPr="005A2CD7">
        <w:rPr>
          <w:rFonts w:eastAsia="MS Mincho"/>
          <w:bCs/>
          <w:lang w:eastAsia="ja-JP"/>
        </w:rPr>
        <w:t xml:space="preserve"> </w:t>
      </w:r>
      <w:r>
        <w:rPr>
          <w:rFonts w:eastAsia="MS Mincho"/>
          <w:bCs/>
          <w:lang w:eastAsia="ja-JP"/>
        </w:rPr>
        <w:t xml:space="preserve">January </w:t>
      </w:r>
      <w:r w:rsidRPr="005A2CD7">
        <w:rPr>
          <w:rFonts w:eastAsia="MS Mincho"/>
          <w:bCs/>
          <w:lang w:eastAsia="ja-JP"/>
        </w:rPr>
        <w:t>202</w:t>
      </w:r>
      <w:r w:rsidR="00FD5BF4">
        <w:rPr>
          <w:rFonts w:eastAsia="MS Mincho"/>
          <w:bCs/>
          <w:lang w:eastAsia="ja-JP"/>
        </w:rPr>
        <w:t>2</w:t>
      </w:r>
      <w:r>
        <w:rPr>
          <w:rFonts w:eastAsia="MS Mincho"/>
          <w:bCs/>
          <w:lang w:eastAsia="ja-JP"/>
        </w:rPr>
        <w:tab/>
      </w:r>
      <w:r>
        <w:rPr>
          <w:rFonts w:eastAsia="MS Mincho"/>
          <w:bCs/>
          <w:lang w:eastAsia="ja-JP"/>
        </w:rPr>
        <w:tab/>
      </w:r>
      <w:r>
        <w:rPr>
          <w:rFonts w:eastAsia="MS Mincho"/>
          <w:bCs/>
          <w:lang w:eastAsia="ja-JP"/>
        </w:rPr>
        <w:tab/>
      </w:r>
      <w:r w:rsidRPr="005A2CD7">
        <w:rPr>
          <w:rFonts w:eastAsia="MS Mincho"/>
          <w:bCs/>
          <w:lang w:eastAsia="ja-JP"/>
        </w:rPr>
        <w:t>E-meeting</w:t>
      </w:r>
    </w:p>
    <w:p w14:paraId="3ED3D77E" w14:textId="77777777" w:rsidR="006C725F" w:rsidRPr="006C725F" w:rsidRDefault="006C725F" w:rsidP="006C725F"/>
    <w:p w14:paraId="6AC50CD5" w14:textId="6BF104EC" w:rsidR="00B81158" w:rsidRPr="005705EB" w:rsidRDefault="00BA0C44" w:rsidP="00A954CF">
      <w:pPr>
        <w:pStyle w:val="Heading1"/>
      </w:pPr>
      <w:r>
        <w:t>References</w:t>
      </w:r>
    </w:p>
    <w:p w14:paraId="5425513A" w14:textId="0485EA43" w:rsidR="007917A1" w:rsidRDefault="00B90F82" w:rsidP="00A954CF">
      <w:pPr>
        <w:numPr>
          <w:ilvl w:val="0"/>
          <w:numId w:val="25"/>
        </w:numPr>
        <w:contextualSpacing/>
      </w:pPr>
      <w:r w:rsidRPr="00B90F82">
        <w:t>RP-210870</w:t>
      </w:r>
      <w:r w:rsidR="007917A1">
        <w:t>, “</w:t>
      </w:r>
      <w:r w:rsidR="007917A1" w:rsidRPr="007917A1">
        <w:t>Work Item on NR small</w:t>
      </w:r>
      <w:r w:rsidR="007917A1">
        <w:t xml:space="preserve"> </w:t>
      </w:r>
      <w:r w:rsidR="007917A1" w:rsidRPr="007917A1">
        <w:t>data transmissions in INACTIVE state</w:t>
      </w:r>
      <w:r w:rsidR="007917A1">
        <w:t>, ” 3GPP TSG RAN#</w:t>
      </w:r>
      <w:r>
        <w:t>91e</w:t>
      </w:r>
      <w:r w:rsidR="007917A1">
        <w:t>.</w:t>
      </w:r>
    </w:p>
    <w:p w14:paraId="2BDC1962" w14:textId="598EBD74" w:rsidR="00746535" w:rsidRPr="00BA0C44" w:rsidRDefault="00A954CF" w:rsidP="009E6F34">
      <w:pPr>
        <w:numPr>
          <w:ilvl w:val="0"/>
          <w:numId w:val="25"/>
        </w:numPr>
        <w:contextualSpacing/>
      </w:pPr>
      <w:r w:rsidRPr="00A954CF">
        <w:t>R</w:t>
      </w:r>
      <w:r w:rsidR="000C19B5">
        <w:t>2</w:t>
      </w:r>
      <w:r w:rsidRPr="00A954CF">
        <w:t>-</w:t>
      </w:r>
      <w:r w:rsidR="00E34F55">
        <w:t>210</w:t>
      </w:r>
      <w:r w:rsidR="00172E4C">
        <w:t>9222</w:t>
      </w:r>
      <w:r w:rsidRPr="00A954CF">
        <w:t>, “</w:t>
      </w:r>
      <w:r w:rsidR="00095CB6" w:rsidRPr="00095CB6">
        <w:t>LS to RAN1 on</w:t>
      </w:r>
      <w:r w:rsidR="00172E4C">
        <w:t xml:space="preserve"> agreements related to SDT</w:t>
      </w:r>
      <w:r w:rsidRPr="00A954CF">
        <w:t>”</w:t>
      </w:r>
      <w:r w:rsidR="00172E4C">
        <w:t>,</w:t>
      </w:r>
      <w:r w:rsidRPr="00A954CF">
        <w:t xml:space="preserve"> 3GPP TSG RAN</w:t>
      </w:r>
      <w:r w:rsidR="000C19B5">
        <w:t>2</w:t>
      </w:r>
      <w:r w:rsidRPr="00A954CF">
        <w:t>#</w:t>
      </w:r>
      <w:r w:rsidR="00131BC6">
        <w:t>11</w:t>
      </w:r>
      <w:r w:rsidR="00172E4C">
        <w:t>5</w:t>
      </w:r>
      <w:r w:rsidR="00131BC6" w:rsidRPr="00A954CF">
        <w:t>e</w:t>
      </w:r>
      <w:r w:rsidRPr="00A954CF">
        <w:t xml:space="preserve">, </w:t>
      </w:r>
      <w:r w:rsidR="00095CB6">
        <w:t xml:space="preserve"> </w:t>
      </w:r>
      <w:r w:rsidR="00172E4C">
        <w:t>August</w:t>
      </w:r>
      <w:r w:rsidRPr="00A954CF">
        <w:t xml:space="preserve">, </w:t>
      </w:r>
      <w:r w:rsidR="00132715">
        <w:t>2021</w:t>
      </w:r>
      <w:r w:rsidRPr="00A954CF">
        <w:t>.</w:t>
      </w:r>
    </w:p>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6AB26" w14:textId="77777777" w:rsidR="006B2A4F" w:rsidRDefault="006B2A4F" w:rsidP="00746535">
      <w:pPr>
        <w:spacing w:after="0"/>
      </w:pPr>
      <w:r>
        <w:separator/>
      </w:r>
    </w:p>
  </w:endnote>
  <w:endnote w:type="continuationSeparator" w:id="0">
    <w:p w14:paraId="1322B445" w14:textId="77777777" w:rsidR="006B2A4F" w:rsidRDefault="006B2A4F" w:rsidP="00746535">
      <w:pPr>
        <w:spacing w:after="0"/>
      </w:pPr>
      <w:r>
        <w:continuationSeparator/>
      </w:r>
    </w:p>
  </w:endnote>
  <w:endnote w:type="continuationNotice" w:id="1">
    <w:p w14:paraId="4EBDE090" w14:textId="77777777" w:rsidR="006B2A4F" w:rsidRDefault="006B2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5A16" w14:textId="77777777" w:rsidR="006B2A4F" w:rsidRDefault="006B2A4F" w:rsidP="00746535">
      <w:pPr>
        <w:spacing w:after="0"/>
      </w:pPr>
      <w:r>
        <w:separator/>
      </w:r>
    </w:p>
  </w:footnote>
  <w:footnote w:type="continuationSeparator" w:id="0">
    <w:p w14:paraId="426E0CEE" w14:textId="77777777" w:rsidR="006B2A4F" w:rsidRDefault="006B2A4F" w:rsidP="00746535">
      <w:pPr>
        <w:spacing w:after="0"/>
      </w:pPr>
      <w:r>
        <w:continuationSeparator/>
      </w:r>
    </w:p>
  </w:footnote>
  <w:footnote w:type="continuationNotice" w:id="1">
    <w:p w14:paraId="0923CC34" w14:textId="77777777" w:rsidR="006B2A4F" w:rsidRDefault="006B2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3A02BE"/>
    <w:multiLevelType w:val="hybridMultilevel"/>
    <w:tmpl w:val="44EED09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896047"/>
    <w:multiLevelType w:val="hybridMultilevel"/>
    <w:tmpl w:val="6392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062DA"/>
    <w:multiLevelType w:val="hybridMultilevel"/>
    <w:tmpl w:val="326A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7"/>
  </w:num>
  <w:num w:numId="4">
    <w:abstractNumId w:val="18"/>
  </w:num>
  <w:num w:numId="5">
    <w:abstractNumId w:val="15"/>
  </w:num>
  <w:num w:numId="6">
    <w:abstractNumId w:val="5"/>
  </w:num>
  <w:num w:numId="7">
    <w:abstractNumId w:val="25"/>
  </w:num>
  <w:num w:numId="8">
    <w:abstractNumId w:val="13"/>
  </w:num>
  <w:num w:numId="9">
    <w:abstractNumId w:val="23"/>
  </w:num>
  <w:num w:numId="10">
    <w:abstractNumId w:val="16"/>
  </w:num>
  <w:num w:numId="11">
    <w:abstractNumId w:val="9"/>
  </w:num>
  <w:num w:numId="12">
    <w:abstractNumId w:val="2"/>
  </w:num>
  <w:num w:numId="13">
    <w:abstractNumId w:val="3"/>
  </w:num>
  <w:num w:numId="14">
    <w:abstractNumId w:val="24"/>
  </w:num>
  <w:num w:numId="15">
    <w:abstractNumId w:val="0"/>
  </w:num>
  <w:num w:numId="16">
    <w:abstractNumId w:val="19"/>
  </w:num>
  <w:num w:numId="17">
    <w:abstractNumId w:val="20"/>
  </w:num>
  <w:num w:numId="18">
    <w:abstractNumId w:val="26"/>
  </w:num>
  <w:num w:numId="19">
    <w:abstractNumId w:val="10"/>
  </w:num>
  <w:num w:numId="20">
    <w:abstractNumId w:val="14"/>
  </w:num>
  <w:num w:numId="21">
    <w:abstractNumId w:val="12"/>
  </w:num>
  <w:num w:numId="22">
    <w:abstractNumId w:val="11"/>
  </w:num>
  <w:num w:numId="23">
    <w:abstractNumId w:val="8"/>
  </w:num>
  <w:num w:numId="24">
    <w:abstractNumId w:val="7"/>
  </w:num>
  <w:num w:numId="25">
    <w:abstractNumId w:val="1"/>
    <w:lvlOverride w:ilvl="0">
      <w:startOverride w:val="1"/>
    </w:lvlOverride>
  </w:num>
  <w:num w:numId="26">
    <w:abstractNumId w:val="21"/>
  </w:num>
  <w:num w:numId="27">
    <w:abstractNumId w:val="22"/>
  </w:num>
  <w:num w:numId="28">
    <w:abstractNumId w:val="6"/>
  </w:num>
  <w:num w:numId="29">
    <w:abstractNumId w:val="4"/>
  </w:num>
  <w:num w:numId="30">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0B2F"/>
    <w:rsid w:val="0003430D"/>
    <w:rsid w:val="0003720A"/>
    <w:rsid w:val="00037A4D"/>
    <w:rsid w:val="00037B94"/>
    <w:rsid w:val="000410E7"/>
    <w:rsid w:val="00045501"/>
    <w:rsid w:val="00053F98"/>
    <w:rsid w:val="00054543"/>
    <w:rsid w:val="00054AE5"/>
    <w:rsid w:val="0005734D"/>
    <w:rsid w:val="00057B27"/>
    <w:rsid w:val="000601EB"/>
    <w:rsid w:val="00062718"/>
    <w:rsid w:val="0006559C"/>
    <w:rsid w:val="0006643B"/>
    <w:rsid w:val="000666F8"/>
    <w:rsid w:val="00070951"/>
    <w:rsid w:val="00073E2D"/>
    <w:rsid w:val="0008376C"/>
    <w:rsid w:val="00090F2F"/>
    <w:rsid w:val="00091324"/>
    <w:rsid w:val="000932A0"/>
    <w:rsid w:val="000937F9"/>
    <w:rsid w:val="00094E69"/>
    <w:rsid w:val="00095CB6"/>
    <w:rsid w:val="000A16B5"/>
    <w:rsid w:val="000A32A3"/>
    <w:rsid w:val="000A7317"/>
    <w:rsid w:val="000B118F"/>
    <w:rsid w:val="000B188F"/>
    <w:rsid w:val="000B2DB1"/>
    <w:rsid w:val="000B3C26"/>
    <w:rsid w:val="000B4116"/>
    <w:rsid w:val="000C13DB"/>
    <w:rsid w:val="000C19B5"/>
    <w:rsid w:val="000D1FAE"/>
    <w:rsid w:val="000D4892"/>
    <w:rsid w:val="000E36EC"/>
    <w:rsid w:val="000E3AB2"/>
    <w:rsid w:val="000E6249"/>
    <w:rsid w:val="000E7BAD"/>
    <w:rsid w:val="000F195F"/>
    <w:rsid w:val="000F71D0"/>
    <w:rsid w:val="00100C0C"/>
    <w:rsid w:val="00101006"/>
    <w:rsid w:val="001037CF"/>
    <w:rsid w:val="001168A0"/>
    <w:rsid w:val="001223F3"/>
    <w:rsid w:val="00124778"/>
    <w:rsid w:val="0012568E"/>
    <w:rsid w:val="001317BD"/>
    <w:rsid w:val="00131BC6"/>
    <w:rsid w:val="00132715"/>
    <w:rsid w:val="001335B3"/>
    <w:rsid w:val="0013396B"/>
    <w:rsid w:val="001378EC"/>
    <w:rsid w:val="00137F94"/>
    <w:rsid w:val="00141BF0"/>
    <w:rsid w:val="00142013"/>
    <w:rsid w:val="00146872"/>
    <w:rsid w:val="00147337"/>
    <w:rsid w:val="00147ECC"/>
    <w:rsid w:val="00153A45"/>
    <w:rsid w:val="00153E9D"/>
    <w:rsid w:val="0015502A"/>
    <w:rsid w:val="00155AE9"/>
    <w:rsid w:val="00161276"/>
    <w:rsid w:val="00165697"/>
    <w:rsid w:val="0016686C"/>
    <w:rsid w:val="00167A2A"/>
    <w:rsid w:val="00170D1B"/>
    <w:rsid w:val="00172E4C"/>
    <w:rsid w:val="001748BF"/>
    <w:rsid w:val="00175632"/>
    <w:rsid w:val="00176E55"/>
    <w:rsid w:val="0018017E"/>
    <w:rsid w:val="00180764"/>
    <w:rsid w:val="0018272D"/>
    <w:rsid w:val="00182A76"/>
    <w:rsid w:val="00184460"/>
    <w:rsid w:val="001847DE"/>
    <w:rsid w:val="001917F3"/>
    <w:rsid w:val="001A110A"/>
    <w:rsid w:val="001A50D7"/>
    <w:rsid w:val="001A53F8"/>
    <w:rsid w:val="001B006D"/>
    <w:rsid w:val="001B118A"/>
    <w:rsid w:val="001B1669"/>
    <w:rsid w:val="001B21F9"/>
    <w:rsid w:val="001B2355"/>
    <w:rsid w:val="001B5384"/>
    <w:rsid w:val="001C017B"/>
    <w:rsid w:val="001C3C02"/>
    <w:rsid w:val="001D48A4"/>
    <w:rsid w:val="001E32DD"/>
    <w:rsid w:val="001E336A"/>
    <w:rsid w:val="001E6B53"/>
    <w:rsid w:val="001F4C37"/>
    <w:rsid w:val="001F7D26"/>
    <w:rsid w:val="00201195"/>
    <w:rsid w:val="00202115"/>
    <w:rsid w:val="00205606"/>
    <w:rsid w:val="00205ACB"/>
    <w:rsid w:val="00205F89"/>
    <w:rsid w:val="002074A5"/>
    <w:rsid w:val="0021143E"/>
    <w:rsid w:val="00213D5D"/>
    <w:rsid w:val="00215B80"/>
    <w:rsid w:val="00216A8D"/>
    <w:rsid w:val="0022093A"/>
    <w:rsid w:val="00223FE6"/>
    <w:rsid w:val="00224BA3"/>
    <w:rsid w:val="00225351"/>
    <w:rsid w:val="00227D61"/>
    <w:rsid w:val="00235781"/>
    <w:rsid w:val="00237729"/>
    <w:rsid w:val="0024332F"/>
    <w:rsid w:val="0024381D"/>
    <w:rsid w:val="00244E36"/>
    <w:rsid w:val="00247523"/>
    <w:rsid w:val="00251B5A"/>
    <w:rsid w:val="0025503A"/>
    <w:rsid w:val="00260931"/>
    <w:rsid w:val="00260FB9"/>
    <w:rsid w:val="002629FE"/>
    <w:rsid w:val="00265C24"/>
    <w:rsid w:val="00272E8A"/>
    <w:rsid w:val="00273C47"/>
    <w:rsid w:val="00275825"/>
    <w:rsid w:val="002760C9"/>
    <w:rsid w:val="002764DD"/>
    <w:rsid w:val="002843D1"/>
    <w:rsid w:val="00285D76"/>
    <w:rsid w:val="00292352"/>
    <w:rsid w:val="00292883"/>
    <w:rsid w:val="0029309A"/>
    <w:rsid w:val="002A33FC"/>
    <w:rsid w:val="002A3466"/>
    <w:rsid w:val="002A4E64"/>
    <w:rsid w:val="002A6510"/>
    <w:rsid w:val="002A6F87"/>
    <w:rsid w:val="002A709C"/>
    <w:rsid w:val="002A7B15"/>
    <w:rsid w:val="002B1AE2"/>
    <w:rsid w:val="002B3447"/>
    <w:rsid w:val="002B386D"/>
    <w:rsid w:val="002B4CDB"/>
    <w:rsid w:val="002B53C5"/>
    <w:rsid w:val="002C0EB8"/>
    <w:rsid w:val="002C225D"/>
    <w:rsid w:val="002D1318"/>
    <w:rsid w:val="002D13FF"/>
    <w:rsid w:val="002D72A9"/>
    <w:rsid w:val="002E2613"/>
    <w:rsid w:val="002E35BC"/>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2B5E"/>
    <w:rsid w:val="00333E72"/>
    <w:rsid w:val="003346F0"/>
    <w:rsid w:val="0033615B"/>
    <w:rsid w:val="00342965"/>
    <w:rsid w:val="0034373B"/>
    <w:rsid w:val="0034384E"/>
    <w:rsid w:val="00344697"/>
    <w:rsid w:val="0035056C"/>
    <w:rsid w:val="003528F5"/>
    <w:rsid w:val="00363585"/>
    <w:rsid w:val="00365AC5"/>
    <w:rsid w:val="003715AF"/>
    <w:rsid w:val="003729EE"/>
    <w:rsid w:val="00375C5A"/>
    <w:rsid w:val="00376CB1"/>
    <w:rsid w:val="00380F6E"/>
    <w:rsid w:val="00387E63"/>
    <w:rsid w:val="00390DD4"/>
    <w:rsid w:val="00391155"/>
    <w:rsid w:val="00392475"/>
    <w:rsid w:val="00392A55"/>
    <w:rsid w:val="003949BC"/>
    <w:rsid w:val="0039679F"/>
    <w:rsid w:val="003A1062"/>
    <w:rsid w:val="003A1C46"/>
    <w:rsid w:val="003A3CDE"/>
    <w:rsid w:val="003A41BE"/>
    <w:rsid w:val="003A7F24"/>
    <w:rsid w:val="003B1460"/>
    <w:rsid w:val="003B203F"/>
    <w:rsid w:val="003B5254"/>
    <w:rsid w:val="003B56FC"/>
    <w:rsid w:val="003B5DD4"/>
    <w:rsid w:val="003B6750"/>
    <w:rsid w:val="003B7686"/>
    <w:rsid w:val="003C1597"/>
    <w:rsid w:val="003C1E22"/>
    <w:rsid w:val="003C3211"/>
    <w:rsid w:val="003C3C40"/>
    <w:rsid w:val="003C4F56"/>
    <w:rsid w:val="003C7800"/>
    <w:rsid w:val="003C7FA2"/>
    <w:rsid w:val="003D047C"/>
    <w:rsid w:val="003E01EE"/>
    <w:rsid w:val="003E0A29"/>
    <w:rsid w:val="003E0D33"/>
    <w:rsid w:val="003E187B"/>
    <w:rsid w:val="003E5117"/>
    <w:rsid w:val="003F0EBC"/>
    <w:rsid w:val="003F1425"/>
    <w:rsid w:val="003F16EB"/>
    <w:rsid w:val="003F214A"/>
    <w:rsid w:val="003F3BDC"/>
    <w:rsid w:val="003F4D15"/>
    <w:rsid w:val="003F643B"/>
    <w:rsid w:val="003F6B18"/>
    <w:rsid w:val="00400036"/>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5701B"/>
    <w:rsid w:val="00462EDF"/>
    <w:rsid w:val="00463858"/>
    <w:rsid w:val="00465420"/>
    <w:rsid w:val="0046728A"/>
    <w:rsid w:val="004708F2"/>
    <w:rsid w:val="0047274C"/>
    <w:rsid w:val="00473420"/>
    <w:rsid w:val="00474419"/>
    <w:rsid w:val="00474DFD"/>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B67ED"/>
    <w:rsid w:val="004C3E92"/>
    <w:rsid w:val="004C4504"/>
    <w:rsid w:val="004C4553"/>
    <w:rsid w:val="004C469E"/>
    <w:rsid w:val="004C6338"/>
    <w:rsid w:val="004C6F5E"/>
    <w:rsid w:val="004C716B"/>
    <w:rsid w:val="004D10C9"/>
    <w:rsid w:val="004D1327"/>
    <w:rsid w:val="004D168C"/>
    <w:rsid w:val="004D3CCB"/>
    <w:rsid w:val="004E1E87"/>
    <w:rsid w:val="004E2B88"/>
    <w:rsid w:val="004E3AE3"/>
    <w:rsid w:val="004E4513"/>
    <w:rsid w:val="004E67B2"/>
    <w:rsid w:val="004E788F"/>
    <w:rsid w:val="004F0ACD"/>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C3B"/>
    <w:rsid w:val="00524FA1"/>
    <w:rsid w:val="005251D2"/>
    <w:rsid w:val="00527415"/>
    <w:rsid w:val="00527C80"/>
    <w:rsid w:val="00533F3A"/>
    <w:rsid w:val="005415E2"/>
    <w:rsid w:val="00542D82"/>
    <w:rsid w:val="00544A0F"/>
    <w:rsid w:val="00552E4F"/>
    <w:rsid w:val="00554794"/>
    <w:rsid w:val="005551B3"/>
    <w:rsid w:val="00557FEA"/>
    <w:rsid w:val="00561B6B"/>
    <w:rsid w:val="00563E7A"/>
    <w:rsid w:val="00565958"/>
    <w:rsid w:val="00573D3E"/>
    <w:rsid w:val="00573DF5"/>
    <w:rsid w:val="0057587C"/>
    <w:rsid w:val="00576517"/>
    <w:rsid w:val="00584A84"/>
    <w:rsid w:val="00585359"/>
    <w:rsid w:val="00586CC7"/>
    <w:rsid w:val="00592677"/>
    <w:rsid w:val="0059468C"/>
    <w:rsid w:val="0059546B"/>
    <w:rsid w:val="005A0725"/>
    <w:rsid w:val="005A28AF"/>
    <w:rsid w:val="005A4830"/>
    <w:rsid w:val="005A58F1"/>
    <w:rsid w:val="005B0C9C"/>
    <w:rsid w:val="005B3A24"/>
    <w:rsid w:val="005B52CA"/>
    <w:rsid w:val="005C0B6B"/>
    <w:rsid w:val="005C2A2F"/>
    <w:rsid w:val="005C686A"/>
    <w:rsid w:val="005C769E"/>
    <w:rsid w:val="005E0DBF"/>
    <w:rsid w:val="005E1032"/>
    <w:rsid w:val="005E7C6A"/>
    <w:rsid w:val="005F18D0"/>
    <w:rsid w:val="005F2123"/>
    <w:rsid w:val="005F30DF"/>
    <w:rsid w:val="005F5757"/>
    <w:rsid w:val="005F78C5"/>
    <w:rsid w:val="00603494"/>
    <w:rsid w:val="0060771D"/>
    <w:rsid w:val="00607B4F"/>
    <w:rsid w:val="00611BB9"/>
    <w:rsid w:val="00611CAE"/>
    <w:rsid w:val="0061281C"/>
    <w:rsid w:val="006131D0"/>
    <w:rsid w:val="0061387D"/>
    <w:rsid w:val="00613DC7"/>
    <w:rsid w:val="006149A1"/>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4DFF"/>
    <w:rsid w:val="00665D84"/>
    <w:rsid w:val="00667680"/>
    <w:rsid w:val="00667A14"/>
    <w:rsid w:val="006701B7"/>
    <w:rsid w:val="00671CDB"/>
    <w:rsid w:val="006743A8"/>
    <w:rsid w:val="00674539"/>
    <w:rsid w:val="0068165D"/>
    <w:rsid w:val="0068217D"/>
    <w:rsid w:val="00683994"/>
    <w:rsid w:val="006846F7"/>
    <w:rsid w:val="00686229"/>
    <w:rsid w:val="006956A2"/>
    <w:rsid w:val="006959C7"/>
    <w:rsid w:val="006B0E0C"/>
    <w:rsid w:val="006B2A4F"/>
    <w:rsid w:val="006B4B3E"/>
    <w:rsid w:val="006B6672"/>
    <w:rsid w:val="006C1625"/>
    <w:rsid w:val="006C204E"/>
    <w:rsid w:val="006C2ABE"/>
    <w:rsid w:val="006C6169"/>
    <w:rsid w:val="006C725F"/>
    <w:rsid w:val="006D1381"/>
    <w:rsid w:val="006D3C68"/>
    <w:rsid w:val="006D3CBB"/>
    <w:rsid w:val="006D3ED4"/>
    <w:rsid w:val="006D764E"/>
    <w:rsid w:val="006E2FE6"/>
    <w:rsid w:val="006E306A"/>
    <w:rsid w:val="006E495B"/>
    <w:rsid w:val="006E6EC9"/>
    <w:rsid w:val="006F2DF3"/>
    <w:rsid w:val="006F38C7"/>
    <w:rsid w:val="006F40BC"/>
    <w:rsid w:val="006F4D72"/>
    <w:rsid w:val="006F63A5"/>
    <w:rsid w:val="006F6E51"/>
    <w:rsid w:val="00700D4E"/>
    <w:rsid w:val="00701F1D"/>
    <w:rsid w:val="007104FB"/>
    <w:rsid w:val="00711A57"/>
    <w:rsid w:val="007138AF"/>
    <w:rsid w:val="00714628"/>
    <w:rsid w:val="00715649"/>
    <w:rsid w:val="00722C91"/>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1B6C"/>
    <w:rsid w:val="00762B72"/>
    <w:rsid w:val="00764827"/>
    <w:rsid w:val="0076488F"/>
    <w:rsid w:val="007662C4"/>
    <w:rsid w:val="007673A4"/>
    <w:rsid w:val="00767813"/>
    <w:rsid w:val="00771F3A"/>
    <w:rsid w:val="00775E36"/>
    <w:rsid w:val="00777D26"/>
    <w:rsid w:val="00780BB5"/>
    <w:rsid w:val="00781C38"/>
    <w:rsid w:val="00781F0E"/>
    <w:rsid w:val="00782900"/>
    <w:rsid w:val="00782AE6"/>
    <w:rsid w:val="007856E9"/>
    <w:rsid w:val="007917A1"/>
    <w:rsid w:val="00794097"/>
    <w:rsid w:val="0079568A"/>
    <w:rsid w:val="00795F81"/>
    <w:rsid w:val="007975C8"/>
    <w:rsid w:val="007A2558"/>
    <w:rsid w:val="007A2876"/>
    <w:rsid w:val="007A7038"/>
    <w:rsid w:val="007B0B1D"/>
    <w:rsid w:val="007B3464"/>
    <w:rsid w:val="007B613E"/>
    <w:rsid w:val="007B64D8"/>
    <w:rsid w:val="007B79E2"/>
    <w:rsid w:val="007C33B5"/>
    <w:rsid w:val="007C387B"/>
    <w:rsid w:val="007C38D5"/>
    <w:rsid w:val="007C4AE9"/>
    <w:rsid w:val="007C4E96"/>
    <w:rsid w:val="007C5FBB"/>
    <w:rsid w:val="007C776B"/>
    <w:rsid w:val="007D22D5"/>
    <w:rsid w:val="007D30A7"/>
    <w:rsid w:val="007D6638"/>
    <w:rsid w:val="007D72CC"/>
    <w:rsid w:val="007D766D"/>
    <w:rsid w:val="007E5A39"/>
    <w:rsid w:val="007F022D"/>
    <w:rsid w:val="007F1098"/>
    <w:rsid w:val="007F2B5E"/>
    <w:rsid w:val="007F30E3"/>
    <w:rsid w:val="007F33B2"/>
    <w:rsid w:val="007F52B2"/>
    <w:rsid w:val="008007E9"/>
    <w:rsid w:val="00803B87"/>
    <w:rsid w:val="00803D4B"/>
    <w:rsid w:val="008046A8"/>
    <w:rsid w:val="0080530B"/>
    <w:rsid w:val="00807B78"/>
    <w:rsid w:val="00813AF5"/>
    <w:rsid w:val="00813DE7"/>
    <w:rsid w:val="00815BEA"/>
    <w:rsid w:val="00815CB3"/>
    <w:rsid w:val="00817159"/>
    <w:rsid w:val="00820374"/>
    <w:rsid w:val="00824AB5"/>
    <w:rsid w:val="008268C5"/>
    <w:rsid w:val="008328E2"/>
    <w:rsid w:val="00833756"/>
    <w:rsid w:val="00835ABE"/>
    <w:rsid w:val="00836027"/>
    <w:rsid w:val="008367D0"/>
    <w:rsid w:val="00853940"/>
    <w:rsid w:val="00857E3A"/>
    <w:rsid w:val="00863DDC"/>
    <w:rsid w:val="008678D7"/>
    <w:rsid w:val="0087613F"/>
    <w:rsid w:val="00880706"/>
    <w:rsid w:val="00881497"/>
    <w:rsid w:val="00883EFD"/>
    <w:rsid w:val="008867D9"/>
    <w:rsid w:val="00890C4E"/>
    <w:rsid w:val="008913CE"/>
    <w:rsid w:val="00892410"/>
    <w:rsid w:val="008976E1"/>
    <w:rsid w:val="008A0E78"/>
    <w:rsid w:val="008A4299"/>
    <w:rsid w:val="008A5B85"/>
    <w:rsid w:val="008A5DA1"/>
    <w:rsid w:val="008B18F4"/>
    <w:rsid w:val="008B2264"/>
    <w:rsid w:val="008B6116"/>
    <w:rsid w:val="008C6926"/>
    <w:rsid w:val="008C74A2"/>
    <w:rsid w:val="008D0F9D"/>
    <w:rsid w:val="008D790B"/>
    <w:rsid w:val="008E0AB2"/>
    <w:rsid w:val="008E0EE9"/>
    <w:rsid w:val="008E1813"/>
    <w:rsid w:val="008E3E17"/>
    <w:rsid w:val="008E73FE"/>
    <w:rsid w:val="008F00BF"/>
    <w:rsid w:val="008F3D88"/>
    <w:rsid w:val="008F3FBC"/>
    <w:rsid w:val="008F5BE4"/>
    <w:rsid w:val="00901695"/>
    <w:rsid w:val="00904CDC"/>
    <w:rsid w:val="0090512D"/>
    <w:rsid w:val="0090785D"/>
    <w:rsid w:val="00910264"/>
    <w:rsid w:val="009103FE"/>
    <w:rsid w:val="00911552"/>
    <w:rsid w:val="009144DE"/>
    <w:rsid w:val="009155B4"/>
    <w:rsid w:val="00917776"/>
    <w:rsid w:val="00917F84"/>
    <w:rsid w:val="0092538A"/>
    <w:rsid w:val="00925615"/>
    <w:rsid w:val="00930C1B"/>
    <w:rsid w:val="00932B8E"/>
    <w:rsid w:val="00934D80"/>
    <w:rsid w:val="00934F2C"/>
    <w:rsid w:val="0094127A"/>
    <w:rsid w:val="009427D1"/>
    <w:rsid w:val="00943773"/>
    <w:rsid w:val="009447F6"/>
    <w:rsid w:val="009509B2"/>
    <w:rsid w:val="00951051"/>
    <w:rsid w:val="009522CE"/>
    <w:rsid w:val="0095376E"/>
    <w:rsid w:val="009548B2"/>
    <w:rsid w:val="009566E1"/>
    <w:rsid w:val="00956D39"/>
    <w:rsid w:val="00957DC7"/>
    <w:rsid w:val="0096025A"/>
    <w:rsid w:val="00961E65"/>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263B"/>
    <w:rsid w:val="009A3FA4"/>
    <w:rsid w:val="009A5669"/>
    <w:rsid w:val="009A79DD"/>
    <w:rsid w:val="009B0DF7"/>
    <w:rsid w:val="009C01EA"/>
    <w:rsid w:val="009C1695"/>
    <w:rsid w:val="009C46F8"/>
    <w:rsid w:val="009C52E6"/>
    <w:rsid w:val="009C67CF"/>
    <w:rsid w:val="009C71F1"/>
    <w:rsid w:val="009C72D7"/>
    <w:rsid w:val="009D21AE"/>
    <w:rsid w:val="009D2ECE"/>
    <w:rsid w:val="009D3364"/>
    <w:rsid w:val="009D47DF"/>
    <w:rsid w:val="009D57EC"/>
    <w:rsid w:val="009D660C"/>
    <w:rsid w:val="009E09EA"/>
    <w:rsid w:val="009E0A87"/>
    <w:rsid w:val="009E2F82"/>
    <w:rsid w:val="009E3A56"/>
    <w:rsid w:val="009E6142"/>
    <w:rsid w:val="009E6F34"/>
    <w:rsid w:val="009F1389"/>
    <w:rsid w:val="009F4343"/>
    <w:rsid w:val="00A00152"/>
    <w:rsid w:val="00A009B2"/>
    <w:rsid w:val="00A00F27"/>
    <w:rsid w:val="00A03B93"/>
    <w:rsid w:val="00A0439E"/>
    <w:rsid w:val="00A06EF4"/>
    <w:rsid w:val="00A116F3"/>
    <w:rsid w:val="00A1257C"/>
    <w:rsid w:val="00A1358A"/>
    <w:rsid w:val="00A156AB"/>
    <w:rsid w:val="00A15B40"/>
    <w:rsid w:val="00A177C5"/>
    <w:rsid w:val="00A20F64"/>
    <w:rsid w:val="00A23B8D"/>
    <w:rsid w:val="00A23FDB"/>
    <w:rsid w:val="00A31831"/>
    <w:rsid w:val="00A346F0"/>
    <w:rsid w:val="00A3578B"/>
    <w:rsid w:val="00A35F96"/>
    <w:rsid w:val="00A37289"/>
    <w:rsid w:val="00A4372A"/>
    <w:rsid w:val="00A503F7"/>
    <w:rsid w:val="00A51892"/>
    <w:rsid w:val="00A519D6"/>
    <w:rsid w:val="00A55661"/>
    <w:rsid w:val="00A55CC6"/>
    <w:rsid w:val="00A567F4"/>
    <w:rsid w:val="00A62DC0"/>
    <w:rsid w:val="00A65FDA"/>
    <w:rsid w:val="00A6633B"/>
    <w:rsid w:val="00A75787"/>
    <w:rsid w:val="00A87946"/>
    <w:rsid w:val="00A87C2B"/>
    <w:rsid w:val="00A91472"/>
    <w:rsid w:val="00A93F78"/>
    <w:rsid w:val="00A954CF"/>
    <w:rsid w:val="00A9741B"/>
    <w:rsid w:val="00A97F1A"/>
    <w:rsid w:val="00AA382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3774F"/>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76719"/>
    <w:rsid w:val="00B81158"/>
    <w:rsid w:val="00B83E54"/>
    <w:rsid w:val="00B862C4"/>
    <w:rsid w:val="00B87F86"/>
    <w:rsid w:val="00B9006A"/>
    <w:rsid w:val="00B90F82"/>
    <w:rsid w:val="00B9133F"/>
    <w:rsid w:val="00B926CC"/>
    <w:rsid w:val="00B93DF2"/>
    <w:rsid w:val="00B943F3"/>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183"/>
    <w:rsid w:val="00BE4F87"/>
    <w:rsid w:val="00BE7C22"/>
    <w:rsid w:val="00BF0F65"/>
    <w:rsid w:val="00BF13D5"/>
    <w:rsid w:val="00BF3D78"/>
    <w:rsid w:val="00BF49B4"/>
    <w:rsid w:val="00BF5BDB"/>
    <w:rsid w:val="00C00294"/>
    <w:rsid w:val="00C01FCC"/>
    <w:rsid w:val="00C036B7"/>
    <w:rsid w:val="00C03B4D"/>
    <w:rsid w:val="00C04345"/>
    <w:rsid w:val="00C045F6"/>
    <w:rsid w:val="00C10BDE"/>
    <w:rsid w:val="00C14406"/>
    <w:rsid w:val="00C15FA1"/>
    <w:rsid w:val="00C2066C"/>
    <w:rsid w:val="00C22CA1"/>
    <w:rsid w:val="00C25058"/>
    <w:rsid w:val="00C2565F"/>
    <w:rsid w:val="00C25ECC"/>
    <w:rsid w:val="00C267FF"/>
    <w:rsid w:val="00C30629"/>
    <w:rsid w:val="00C3353D"/>
    <w:rsid w:val="00C356F4"/>
    <w:rsid w:val="00C37F5A"/>
    <w:rsid w:val="00C40718"/>
    <w:rsid w:val="00C42F6A"/>
    <w:rsid w:val="00C444B1"/>
    <w:rsid w:val="00C44C5A"/>
    <w:rsid w:val="00C4570A"/>
    <w:rsid w:val="00C45FE1"/>
    <w:rsid w:val="00C463CB"/>
    <w:rsid w:val="00C54480"/>
    <w:rsid w:val="00C545E2"/>
    <w:rsid w:val="00C56799"/>
    <w:rsid w:val="00C57C3F"/>
    <w:rsid w:val="00C67790"/>
    <w:rsid w:val="00C67974"/>
    <w:rsid w:val="00C70116"/>
    <w:rsid w:val="00C71071"/>
    <w:rsid w:val="00C71211"/>
    <w:rsid w:val="00C716AA"/>
    <w:rsid w:val="00C77C71"/>
    <w:rsid w:val="00C91DB8"/>
    <w:rsid w:val="00CA090D"/>
    <w:rsid w:val="00CA1D58"/>
    <w:rsid w:val="00CA4E54"/>
    <w:rsid w:val="00CA785A"/>
    <w:rsid w:val="00CB395E"/>
    <w:rsid w:val="00CC0B59"/>
    <w:rsid w:val="00CC0CBA"/>
    <w:rsid w:val="00CC22D6"/>
    <w:rsid w:val="00CC4E6F"/>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CF21D1"/>
    <w:rsid w:val="00D01893"/>
    <w:rsid w:val="00D052B7"/>
    <w:rsid w:val="00D061C5"/>
    <w:rsid w:val="00D11F72"/>
    <w:rsid w:val="00D13B30"/>
    <w:rsid w:val="00D14F38"/>
    <w:rsid w:val="00D15351"/>
    <w:rsid w:val="00D2033F"/>
    <w:rsid w:val="00D26FCE"/>
    <w:rsid w:val="00D31736"/>
    <w:rsid w:val="00D34DF2"/>
    <w:rsid w:val="00D437B5"/>
    <w:rsid w:val="00D442FE"/>
    <w:rsid w:val="00D473D3"/>
    <w:rsid w:val="00D50538"/>
    <w:rsid w:val="00D50AD9"/>
    <w:rsid w:val="00D550C5"/>
    <w:rsid w:val="00D62411"/>
    <w:rsid w:val="00D651B2"/>
    <w:rsid w:val="00D6546F"/>
    <w:rsid w:val="00D675BC"/>
    <w:rsid w:val="00D7064E"/>
    <w:rsid w:val="00D72615"/>
    <w:rsid w:val="00D74914"/>
    <w:rsid w:val="00D764E9"/>
    <w:rsid w:val="00D76FD2"/>
    <w:rsid w:val="00D80BC1"/>
    <w:rsid w:val="00D81C4F"/>
    <w:rsid w:val="00D84CD2"/>
    <w:rsid w:val="00D9214D"/>
    <w:rsid w:val="00D9532B"/>
    <w:rsid w:val="00D96C5B"/>
    <w:rsid w:val="00D971DE"/>
    <w:rsid w:val="00DA016E"/>
    <w:rsid w:val="00DA2421"/>
    <w:rsid w:val="00DA3AA6"/>
    <w:rsid w:val="00DA49E7"/>
    <w:rsid w:val="00DA54EC"/>
    <w:rsid w:val="00DA7DD6"/>
    <w:rsid w:val="00DB0C80"/>
    <w:rsid w:val="00DB12A8"/>
    <w:rsid w:val="00DB1C0E"/>
    <w:rsid w:val="00DB2161"/>
    <w:rsid w:val="00DB4D0F"/>
    <w:rsid w:val="00DB531B"/>
    <w:rsid w:val="00DC0CD9"/>
    <w:rsid w:val="00DC11E7"/>
    <w:rsid w:val="00DC5414"/>
    <w:rsid w:val="00DC5EB9"/>
    <w:rsid w:val="00DC6EAB"/>
    <w:rsid w:val="00DC7134"/>
    <w:rsid w:val="00DC7540"/>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1536"/>
    <w:rsid w:val="00E324AD"/>
    <w:rsid w:val="00E34F55"/>
    <w:rsid w:val="00E36A55"/>
    <w:rsid w:val="00E41DC6"/>
    <w:rsid w:val="00E42DBB"/>
    <w:rsid w:val="00E455AF"/>
    <w:rsid w:val="00E53A2A"/>
    <w:rsid w:val="00E5524C"/>
    <w:rsid w:val="00E57572"/>
    <w:rsid w:val="00E57851"/>
    <w:rsid w:val="00E629BB"/>
    <w:rsid w:val="00E65D8E"/>
    <w:rsid w:val="00E669B0"/>
    <w:rsid w:val="00E67437"/>
    <w:rsid w:val="00E678DE"/>
    <w:rsid w:val="00E702A5"/>
    <w:rsid w:val="00E71774"/>
    <w:rsid w:val="00E77484"/>
    <w:rsid w:val="00E81D00"/>
    <w:rsid w:val="00E830BA"/>
    <w:rsid w:val="00E83405"/>
    <w:rsid w:val="00E84696"/>
    <w:rsid w:val="00E8759A"/>
    <w:rsid w:val="00E905B7"/>
    <w:rsid w:val="00E92CBF"/>
    <w:rsid w:val="00E95265"/>
    <w:rsid w:val="00E978AA"/>
    <w:rsid w:val="00EA0189"/>
    <w:rsid w:val="00EA1AE2"/>
    <w:rsid w:val="00EA44F3"/>
    <w:rsid w:val="00EA4EF3"/>
    <w:rsid w:val="00EA4F79"/>
    <w:rsid w:val="00EA510D"/>
    <w:rsid w:val="00EA5147"/>
    <w:rsid w:val="00EA5762"/>
    <w:rsid w:val="00EA6B06"/>
    <w:rsid w:val="00EB0BF8"/>
    <w:rsid w:val="00EB282E"/>
    <w:rsid w:val="00EB38D8"/>
    <w:rsid w:val="00EB3B02"/>
    <w:rsid w:val="00EB5243"/>
    <w:rsid w:val="00EC1F8C"/>
    <w:rsid w:val="00ED0D23"/>
    <w:rsid w:val="00ED13E3"/>
    <w:rsid w:val="00ED2945"/>
    <w:rsid w:val="00ED45E2"/>
    <w:rsid w:val="00ED604B"/>
    <w:rsid w:val="00ED6662"/>
    <w:rsid w:val="00ED791D"/>
    <w:rsid w:val="00EF0716"/>
    <w:rsid w:val="00EF1F2B"/>
    <w:rsid w:val="00EF4F6E"/>
    <w:rsid w:val="00EF6664"/>
    <w:rsid w:val="00F007E2"/>
    <w:rsid w:val="00F00C5F"/>
    <w:rsid w:val="00F027C0"/>
    <w:rsid w:val="00F04F6C"/>
    <w:rsid w:val="00F06DC9"/>
    <w:rsid w:val="00F07053"/>
    <w:rsid w:val="00F10522"/>
    <w:rsid w:val="00F10E53"/>
    <w:rsid w:val="00F1454B"/>
    <w:rsid w:val="00F15D3A"/>
    <w:rsid w:val="00F16CE3"/>
    <w:rsid w:val="00F22190"/>
    <w:rsid w:val="00F2284D"/>
    <w:rsid w:val="00F2301D"/>
    <w:rsid w:val="00F232CE"/>
    <w:rsid w:val="00F2347F"/>
    <w:rsid w:val="00F253D2"/>
    <w:rsid w:val="00F2661C"/>
    <w:rsid w:val="00F340E0"/>
    <w:rsid w:val="00F43218"/>
    <w:rsid w:val="00F446EF"/>
    <w:rsid w:val="00F47CC0"/>
    <w:rsid w:val="00F50563"/>
    <w:rsid w:val="00F50886"/>
    <w:rsid w:val="00F50A9F"/>
    <w:rsid w:val="00F50CD2"/>
    <w:rsid w:val="00F52F34"/>
    <w:rsid w:val="00F55349"/>
    <w:rsid w:val="00F559C8"/>
    <w:rsid w:val="00F55AFF"/>
    <w:rsid w:val="00F57FF5"/>
    <w:rsid w:val="00F63DA3"/>
    <w:rsid w:val="00F64131"/>
    <w:rsid w:val="00F64504"/>
    <w:rsid w:val="00F6586B"/>
    <w:rsid w:val="00F65A25"/>
    <w:rsid w:val="00F6748D"/>
    <w:rsid w:val="00F67A42"/>
    <w:rsid w:val="00F707D7"/>
    <w:rsid w:val="00F75155"/>
    <w:rsid w:val="00F7755C"/>
    <w:rsid w:val="00F803D5"/>
    <w:rsid w:val="00F81659"/>
    <w:rsid w:val="00F8315A"/>
    <w:rsid w:val="00F834DF"/>
    <w:rsid w:val="00F85FD8"/>
    <w:rsid w:val="00F92D4C"/>
    <w:rsid w:val="00F9469A"/>
    <w:rsid w:val="00F9780C"/>
    <w:rsid w:val="00FA5F7C"/>
    <w:rsid w:val="00FA626E"/>
    <w:rsid w:val="00FB3BD6"/>
    <w:rsid w:val="00FB4147"/>
    <w:rsid w:val="00FC0714"/>
    <w:rsid w:val="00FC219A"/>
    <w:rsid w:val="00FC2829"/>
    <w:rsid w:val="00FC4F8E"/>
    <w:rsid w:val="00FC6A8F"/>
    <w:rsid w:val="00FD5533"/>
    <w:rsid w:val="00FD5BF4"/>
    <w:rsid w:val="00FD672A"/>
    <w:rsid w:val="00FE058D"/>
    <w:rsid w:val="00FE1778"/>
    <w:rsid w:val="00FE2C5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HR33RHYHUWRF-4-17708</_dlc_DocId>
    <_dlc_DocIdUrl xmlns="c06861ca-3f08-4d07-bff7-bb15bac121f4">
      <Url>https://projects.qualcomm.com/sites/pentari/_layouts/15/DocIdRedir.aspx?ID=HR33RHYHUWRF-4-17708</Url>
      <Description>HR33RHYHUWRF-4-17708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3AE94F85-162F-466D-815A-91167D2E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129</cp:revision>
  <dcterms:created xsi:type="dcterms:W3CDTF">2021-08-06T22:53:00Z</dcterms:created>
  <dcterms:modified xsi:type="dcterms:W3CDTF">2021-10-02T02:28:00Z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528ca2d6-9adf-4c42-8edb-a4e969404ec9</vt:lpwstr>
  </property>
</Properties>
</file>